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0B97" w14:textId="46B5D491" w:rsidR="009E1169" w:rsidRPr="006B700E" w:rsidRDefault="009E1169" w:rsidP="009E1169">
      <w:pPr>
        <w:pStyle w:val="Heading1"/>
        <w:rPr>
          <w:sz w:val="32"/>
          <w:szCs w:val="32"/>
        </w:rPr>
      </w:pPr>
      <w:r w:rsidRPr="006B700E">
        <w:rPr>
          <w:sz w:val="32"/>
          <w:szCs w:val="32"/>
        </w:rPr>
        <w:t>RAPORTI PËR TË DREJTAT E NJERIUT – SHQIPËRIA 2022</w:t>
      </w:r>
    </w:p>
    <w:p w14:paraId="33135F79" w14:textId="77777777" w:rsidR="009E1169" w:rsidRPr="006B700E" w:rsidRDefault="009E1169" w:rsidP="009E1169">
      <w:pPr>
        <w:pStyle w:val="Heading2"/>
        <w:jc w:val="both"/>
        <w:rPr>
          <w:sz w:val="32"/>
          <w:szCs w:val="32"/>
        </w:rPr>
      </w:pPr>
      <w:r w:rsidRPr="006B700E">
        <w:rPr>
          <w:sz w:val="32"/>
          <w:szCs w:val="32"/>
        </w:rPr>
        <w:t xml:space="preserve">PËRMBLEDHJE E PËRGJITHSHME </w:t>
      </w:r>
    </w:p>
    <w:p w14:paraId="1619294D" w14:textId="03B5BA0F" w:rsidR="009E1169" w:rsidRPr="006B700E" w:rsidRDefault="009E1169" w:rsidP="009E1169">
      <w:pPr>
        <w:jc w:val="both"/>
        <w:rPr>
          <w:bCs/>
          <w:color w:val="000000"/>
          <w:sz w:val="24"/>
          <w:szCs w:val="24"/>
        </w:rPr>
      </w:pPr>
      <w:r w:rsidRPr="006B700E">
        <w:rPr>
          <w:bCs/>
          <w:color w:val="000000"/>
          <w:sz w:val="24"/>
          <w:szCs w:val="24"/>
        </w:rPr>
        <w:t>Republika e Shqipërisë është demokraci parlamentare. Kushtetuta ia njeh autoritetin legjislativ parlamentit me një dhomë (Kuvendit), i cili zgjedh si kryeministrin ashtu edhe presidentin. Kryeministri drejton qeverinë, ndërsa presidenti ka pushtet ekzekutiv të kufizuar. Vëzhguesit i vlerësua</w:t>
      </w:r>
      <w:r w:rsidR="00C71D95" w:rsidRPr="006B700E">
        <w:rPr>
          <w:bCs/>
          <w:color w:val="000000"/>
          <w:sz w:val="24"/>
          <w:szCs w:val="24"/>
        </w:rPr>
        <w:t>n</w:t>
      </w:r>
      <w:r w:rsidRPr="006B700E">
        <w:rPr>
          <w:bCs/>
          <w:color w:val="000000"/>
          <w:sz w:val="24"/>
          <w:szCs w:val="24"/>
        </w:rPr>
        <w:t xml:space="preserve"> zgjedhjet e fundit parlamentare, të mbajtura në prill të vitit 2021, si të mirëorganizuara dhe si zgjedhje që u dhanë votuesve </w:t>
      </w:r>
      <w:r w:rsidR="006B700E">
        <w:rPr>
          <w:bCs/>
          <w:color w:val="000000"/>
          <w:sz w:val="24"/>
          <w:szCs w:val="24"/>
        </w:rPr>
        <w:t xml:space="preserve">mundësi </w:t>
      </w:r>
      <w:r w:rsidRPr="006B700E">
        <w:rPr>
          <w:bCs/>
          <w:color w:val="000000"/>
          <w:sz w:val="24"/>
          <w:szCs w:val="24"/>
        </w:rPr>
        <w:t>zgjedhje</w:t>
      </w:r>
      <w:r w:rsidR="006B700E">
        <w:rPr>
          <w:bCs/>
          <w:color w:val="000000"/>
          <w:sz w:val="24"/>
          <w:szCs w:val="24"/>
        </w:rPr>
        <w:t>je</w:t>
      </w:r>
      <w:r w:rsidRPr="006B700E">
        <w:rPr>
          <w:bCs/>
          <w:color w:val="000000"/>
          <w:sz w:val="24"/>
          <w:szCs w:val="24"/>
        </w:rPr>
        <w:t xml:space="preserve"> </w:t>
      </w:r>
      <w:r w:rsidR="006B700E">
        <w:rPr>
          <w:bCs/>
          <w:color w:val="000000"/>
          <w:sz w:val="24"/>
          <w:szCs w:val="24"/>
        </w:rPr>
        <w:t xml:space="preserve">mes </w:t>
      </w:r>
      <w:r w:rsidRPr="006B700E">
        <w:rPr>
          <w:bCs/>
          <w:color w:val="000000"/>
          <w:sz w:val="24"/>
          <w:szCs w:val="24"/>
        </w:rPr>
        <w:t xml:space="preserve">kandidatësh të cilët bënë fushatë lirisht.   </w:t>
      </w:r>
    </w:p>
    <w:p w14:paraId="5280BDE6" w14:textId="452F6FEE" w:rsidR="009E1169" w:rsidRPr="006B700E" w:rsidRDefault="009E1169" w:rsidP="009E1169">
      <w:pPr>
        <w:jc w:val="both"/>
        <w:rPr>
          <w:bCs/>
          <w:color w:val="000000"/>
          <w:sz w:val="24"/>
          <w:szCs w:val="24"/>
        </w:rPr>
      </w:pPr>
      <w:r w:rsidRPr="006B700E">
        <w:rPr>
          <w:sz w:val="24"/>
          <w:szCs w:val="24"/>
        </w:rPr>
        <w:t xml:space="preserve">Ministria e Brendshme </w:t>
      </w:r>
      <w:r w:rsidRPr="006B700E">
        <w:rPr>
          <w:bCs/>
          <w:color w:val="000000"/>
          <w:sz w:val="24"/>
          <w:szCs w:val="24"/>
        </w:rPr>
        <w:t xml:space="preserve">mbikqyr Gardën e Republikës dhe Policinë e Shtetit, e cila përfshin Policinë e Kufirit dhe Migracionit. Policia e Shtetit ka si përgjegjësi kryesore sigurinë e brendshme. Garda e Republikës mbron zyrtarët e lartë të shtetit, autoritetet e huaja dhe disa prona të shtetit. Ministria e Mbrojtjes mbikëqyr forcat e armatosura. Shërbimi Informativ Shtetëror </w:t>
      </w:r>
      <w:r w:rsidR="006B700E">
        <w:rPr>
          <w:bCs/>
          <w:color w:val="000000"/>
          <w:sz w:val="24"/>
          <w:szCs w:val="24"/>
        </w:rPr>
        <w:t xml:space="preserve">raporton tek </w:t>
      </w:r>
      <w:r w:rsidRPr="006B700E">
        <w:rPr>
          <w:bCs/>
          <w:color w:val="000000"/>
          <w:sz w:val="24"/>
          <w:szCs w:val="24"/>
        </w:rPr>
        <w:t xml:space="preserve">kryeministri, mbledh informacione dhe kryen veprimtari të zbulimit të huaj dhe të kundërzbulimit. Autoritetet civile ruajtën kontroll të efektshëm mbi forcat e sigurisë. Pati disa raportime për abuzime nga punonjës të forcave të sigurisë. </w:t>
      </w:r>
    </w:p>
    <w:p w14:paraId="3002051C" w14:textId="6CCC17D6" w:rsidR="009E1169" w:rsidRPr="006B700E" w:rsidRDefault="009E1169" w:rsidP="009E1169">
      <w:pPr>
        <w:jc w:val="both"/>
        <w:rPr>
          <w:bCs/>
          <w:color w:val="000000"/>
          <w:sz w:val="24"/>
          <w:szCs w:val="24"/>
        </w:rPr>
      </w:pPr>
      <w:r w:rsidRPr="006B700E">
        <w:rPr>
          <w:bCs/>
          <w:color w:val="000000"/>
          <w:sz w:val="24"/>
          <w:szCs w:val="24"/>
        </w:rPr>
        <w:t xml:space="preserve">Çështjet kryesore të të drejtave të njeriut përfshinë: problemet me pavarësinë </w:t>
      </w:r>
      <w:r w:rsidR="00177C7C" w:rsidRPr="006B700E">
        <w:rPr>
          <w:bCs/>
          <w:color w:val="000000"/>
          <w:sz w:val="24"/>
          <w:szCs w:val="24"/>
        </w:rPr>
        <w:t xml:space="preserve">dhe integritetin </w:t>
      </w:r>
      <w:r w:rsidRPr="006B700E">
        <w:rPr>
          <w:bCs/>
          <w:color w:val="000000"/>
          <w:sz w:val="24"/>
          <w:szCs w:val="24"/>
        </w:rPr>
        <w:t>e gjyqësorit</w:t>
      </w:r>
      <w:r w:rsidR="00177C7C" w:rsidRPr="006B700E">
        <w:rPr>
          <w:bCs/>
          <w:color w:val="000000"/>
          <w:sz w:val="24"/>
          <w:szCs w:val="24"/>
        </w:rPr>
        <w:t xml:space="preserve">; mungesën e medias së pavarur; dhe </w:t>
      </w:r>
      <w:r w:rsidRPr="006B700E">
        <w:rPr>
          <w:bCs/>
          <w:color w:val="000000"/>
          <w:sz w:val="24"/>
          <w:szCs w:val="24"/>
        </w:rPr>
        <w:t xml:space="preserve">korrupsionin e përhapur </w:t>
      </w:r>
      <w:r w:rsidR="00177C7C" w:rsidRPr="006B700E">
        <w:rPr>
          <w:bCs/>
          <w:color w:val="000000"/>
          <w:sz w:val="24"/>
          <w:szCs w:val="24"/>
        </w:rPr>
        <w:t xml:space="preserve">në </w:t>
      </w:r>
      <w:r w:rsidRPr="006B700E">
        <w:rPr>
          <w:bCs/>
          <w:color w:val="000000"/>
          <w:sz w:val="24"/>
          <w:szCs w:val="24"/>
        </w:rPr>
        <w:t>qeveri</w:t>
      </w:r>
      <w:r w:rsidR="00177C7C" w:rsidRPr="006B700E">
        <w:rPr>
          <w:bCs/>
          <w:color w:val="000000"/>
          <w:sz w:val="24"/>
          <w:szCs w:val="24"/>
        </w:rPr>
        <w:t xml:space="preserve">, në zbatim ligji dhe në </w:t>
      </w:r>
      <w:r w:rsidRPr="006B700E">
        <w:rPr>
          <w:bCs/>
          <w:color w:val="000000"/>
          <w:sz w:val="24"/>
          <w:szCs w:val="24"/>
        </w:rPr>
        <w:t xml:space="preserve">institucionet bashkiake.   </w:t>
      </w:r>
    </w:p>
    <w:p w14:paraId="6CBB4C20" w14:textId="592803A2" w:rsidR="00177C7C" w:rsidRPr="006B700E" w:rsidRDefault="00533DE5" w:rsidP="009E1169">
      <w:pPr>
        <w:jc w:val="both"/>
        <w:rPr>
          <w:bCs/>
          <w:color w:val="000000"/>
          <w:sz w:val="24"/>
          <w:szCs w:val="24"/>
        </w:rPr>
      </w:pPr>
      <w:r w:rsidRPr="006B700E">
        <w:rPr>
          <w:bCs/>
          <w:color w:val="000000"/>
          <w:sz w:val="24"/>
          <w:szCs w:val="24"/>
        </w:rPr>
        <w:t xml:space="preserve">Struktura e Specializuar Kundër Korrupsionit dhe sistemi i drejtësisë vijuan të bënin përparim të ndjeshëm gjatë vitit duke hetuar, ndjekur penalisht dhe dënuar zyrtarë të lartë dhe kriminelë të organizuar të cilët ishin përfshirë në korrupsion. Qeveria zbatoi masat për shërbimet elektronike për të përmirësuar transparencën dhe për të zvogëluar mundësitë për </w:t>
      </w:r>
      <w:r w:rsidR="003A4D55" w:rsidRPr="006B700E">
        <w:rPr>
          <w:bCs/>
          <w:color w:val="000000"/>
          <w:sz w:val="24"/>
          <w:szCs w:val="24"/>
        </w:rPr>
        <w:t xml:space="preserve">korrupsion. Prokurorët përparuan në përballjen me kulturën e vjetër që vendi ka në lidhje me pandëshkueshmërinë. </w:t>
      </w:r>
      <w:r w:rsidR="00643D75" w:rsidRPr="006B700E">
        <w:rPr>
          <w:bCs/>
          <w:color w:val="000000"/>
          <w:sz w:val="24"/>
          <w:szCs w:val="24"/>
        </w:rPr>
        <w:t xml:space="preserve"> </w:t>
      </w:r>
      <w:r w:rsidRPr="006B700E">
        <w:rPr>
          <w:bCs/>
          <w:color w:val="000000"/>
          <w:sz w:val="24"/>
          <w:szCs w:val="24"/>
        </w:rPr>
        <w:t xml:space="preserve">  </w:t>
      </w:r>
    </w:p>
    <w:p w14:paraId="44012A4A" w14:textId="7BC0295A" w:rsidR="003A4D55" w:rsidRPr="006B700E" w:rsidRDefault="003A4D55" w:rsidP="003A4D55">
      <w:pPr>
        <w:jc w:val="both"/>
        <w:rPr>
          <w:b/>
          <w:sz w:val="32"/>
          <w:szCs w:val="32"/>
        </w:rPr>
      </w:pPr>
      <w:r w:rsidRPr="006B700E">
        <w:rPr>
          <w:b/>
          <w:sz w:val="32"/>
          <w:szCs w:val="32"/>
        </w:rPr>
        <w:t>Seksioni 1. Respektimi i integritetit të personit</w:t>
      </w:r>
    </w:p>
    <w:p w14:paraId="5E670CC9" w14:textId="77777777" w:rsidR="003A4D55" w:rsidRPr="006B700E" w:rsidRDefault="003A4D55" w:rsidP="003A4D55">
      <w:pPr>
        <w:jc w:val="both"/>
        <w:rPr>
          <w:b/>
        </w:rPr>
      </w:pPr>
      <w:r w:rsidRPr="006B700E">
        <w:rPr>
          <w:b/>
        </w:rPr>
        <w:t xml:space="preserve">a. Privimi i jetës në mënyrë arbitrare dhe vrasje të tjera të paligjshme apo me motiv politik </w:t>
      </w:r>
    </w:p>
    <w:p w14:paraId="1ACA8E33" w14:textId="5A2E186D" w:rsidR="000D106B" w:rsidRPr="006B700E" w:rsidRDefault="000D106B" w:rsidP="009E1169">
      <w:pPr>
        <w:rPr>
          <w:sz w:val="24"/>
          <w:szCs w:val="24"/>
        </w:rPr>
      </w:pPr>
      <w:r w:rsidRPr="006B700E">
        <w:rPr>
          <w:sz w:val="24"/>
          <w:szCs w:val="24"/>
        </w:rPr>
        <w:t>Gjatë këtij viti nuk pati raportime që qeveria apo agjentë të saj të ke</w:t>
      </w:r>
      <w:r w:rsidR="00643D75" w:rsidRPr="006B700E">
        <w:rPr>
          <w:sz w:val="24"/>
          <w:szCs w:val="24"/>
        </w:rPr>
        <w:t>n</w:t>
      </w:r>
      <w:r w:rsidRPr="006B700E">
        <w:rPr>
          <w:sz w:val="24"/>
          <w:szCs w:val="24"/>
        </w:rPr>
        <w:t xml:space="preserve">ë kryer vrasje në mënyrë arbitrare ose të paligjshme. Agjencitë civile dhe private për zbatimin e ligjit janë të detyruara me ligj të hetojnë nëse vrasje të bëra prej ndonjë force sigurie civile apo ushtarake janë të </w:t>
      </w:r>
      <w:r w:rsidRPr="006B700E">
        <w:rPr>
          <w:sz w:val="24"/>
          <w:szCs w:val="24"/>
        </w:rPr>
        <w:lastRenderedPageBreak/>
        <w:t xml:space="preserve">justifikueshme dhe të ndjekë penalisht rastet e vrasjeve të paligjshme nëse ka të tilla.  </w:t>
      </w:r>
    </w:p>
    <w:p w14:paraId="3AAF386A" w14:textId="2A3163D7" w:rsidR="009E1169" w:rsidRPr="006B700E" w:rsidRDefault="009E1169" w:rsidP="009E1169">
      <w:pPr>
        <w:pStyle w:val="Heading3"/>
        <w:rPr>
          <w:sz w:val="28"/>
          <w:szCs w:val="28"/>
        </w:rPr>
      </w:pPr>
      <w:r w:rsidRPr="006B700E">
        <w:rPr>
          <w:sz w:val="28"/>
          <w:szCs w:val="28"/>
        </w:rPr>
        <w:t xml:space="preserve">b. </w:t>
      </w:r>
      <w:r w:rsidR="000D106B" w:rsidRPr="006B700E">
        <w:rPr>
          <w:sz w:val="28"/>
          <w:szCs w:val="28"/>
        </w:rPr>
        <w:t xml:space="preserve">Zhdukja </w:t>
      </w:r>
    </w:p>
    <w:p w14:paraId="2B48879D" w14:textId="77777777" w:rsidR="000D106B" w:rsidRPr="006B700E" w:rsidRDefault="000D106B" w:rsidP="000D106B">
      <w:pPr>
        <w:jc w:val="both"/>
        <w:rPr>
          <w:sz w:val="24"/>
          <w:szCs w:val="24"/>
        </w:rPr>
      </w:pPr>
      <w:r w:rsidRPr="006B700E">
        <w:rPr>
          <w:sz w:val="24"/>
          <w:szCs w:val="24"/>
        </w:rPr>
        <w:t xml:space="preserve">Nuk pati raportime në lidhje me zhdukje nga autoritetet qeveritare apo në emër të tyre. </w:t>
      </w:r>
    </w:p>
    <w:p w14:paraId="2636CAB8" w14:textId="77777777" w:rsidR="000D106B" w:rsidRPr="006B700E" w:rsidRDefault="000D106B" w:rsidP="000D106B">
      <w:pPr>
        <w:jc w:val="both"/>
      </w:pPr>
      <w:r w:rsidRPr="006B700E">
        <w:rPr>
          <w:b/>
        </w:rPr>
        <w:t>c. Tortura dhe trajtime ose ndëshkime të tjera mizore, çnjerëzore ose degraduese</w:t>
      </w:r>
    </w:p>
    <w:p w14:paraId="3F1F6F18" w14:textId="7D34891B" w:rsidR="009E1169" w:rsidRPr="006B700E" w:rsidRDefault="0013378E" w:rsidP="009E1169">
      <w:pPr>
        <w:rPr>
          <w:sz w:val="24"/>
          <w:szCs w:val="24"/>
        </w:rPr>
      </w:pPr>
      <w:r w:rsidRPr="006B700E">
        <w:rPr>
          <w:sz w:val="24"/>
          <w:szCs w:val="24"/>
        </w:rPr>
        <w:t>Kushtetuta dhe ligji i ndalojnë torturën dhe trajtime ose ndëshkime të tjera mizore, çnjerëzore ose degraduese. Zyra e Avokatit të Popullit, institucion i pavarur kushtetues që shërben për të kontrolluar qeverinë</w:t>
      </w:r>
      <w:r w:rsidR="009E1169" w:rsidRPr="006B700E">
        <w:rPr>
          <w:sz w:val="24"/>
          <w:szCs w:val="24"/>
        </w:rPr>
        <w:t xml:space="preserve">, </w:t>
      </w:r>
      <w:r w:rsidRPr="006B700E">
        <w:rPr>
          <w:sz w:val="24"/>
          <w:szCs w:val="24"/>
        </w:rPr>
        <w:t xml:space="preserve">vëzhgoi përmirësim të përgjithshëm në praktikat policore. </w:t>
      </w:r>
    </w:p>
    <w:p w14:paraId="33F5B214" w14:textId="064FF69F" w:rsidR="009E1169" w:rsidRPr="006B700E" w:rsidRDefault="0013378E" w:rsidP="009E1169">
      <w:pPr>
        <w:rPr>
          <w:sz w:val="24"/>
          <w:szCs w:val="24"/>
        </w:rPr>
      </w:pPr>
      <w:r w:rsidRPr="006B700E">
        <w:rPr>
          <w:sz w:val="24"/>
          <w:szCs w:val="24"/>
        </w:rPr>
        <w:t xml:space="preserve">Qeveria bëri përpjekje më të mëdha për të adresuar pandëshkueshmërinë në polici. Në muajin shkurt, u themelua Agjencia e Mbikëqyrjes Policore, tërësisht e pavarur nga Policia e Shtetit </w:t>
      </w:r>
      <w:r w:rsidR="00A6759C" w:rsidRPr="006B700E">
        <w:rPr>
          <w:sz w:val="24"/>
          <w:szCs w:val="24"/>
        </w:rPr>
        <w:t xml:space="preserve">e </w:t>
      </w:r>
      <w:r w:rsidRPr="006B700E">
        <w:rPr>
          <w:sz w:val="24"/>
          <w:szCs w:val="24"/>
        </w:rPr>
        <w:t>Shqip</w:t>
      </w:r>
      <w:r w:rsidR="00A6759C" w:rsidRPr="006B700E">
        <w:rPr>
          <w:sz w:val="24"/>
          <w:szCs w:val="24"/>
        </w:rPr>
        <w:t>ërisë (PS</w:t>
      </w:r>
      <w:r w:rsidR="00643D75" w:rsidRPr="006B700E">
        <w:rPr>
          <w:sz w:val="24"/>
          <w:szCs w:val="24"/>
        </w:rPr>
        <w:t>H</w:t>
      </w:r>
      <w:r w:rsidR="00A6759C" w:rsidRPr="006B700E">
        <w:rPr>
          <w:sz w:val="24"/>
          <w:szCs w:val="24"/>
        </w:rPr>
        <w:t xml:space="preserve">), me përgjegjësinë për të hetuar dhe </w:t>
      </w:r>
      <w:r w:rsidR="00643D75" w:rsidRPr="006B700E">
        <w:rPr>
          <w:sz w:val="24"/>
          <w:szCs w:val="24"/>
        </w:rPr>
        <w:t>për të kërkuar llogari për</w:t>
      </w:r>
      <w:r w:rsidR="00A6759C" w:rsidRPr="006B700E">
        <w:rPr>
          <w:sz w:val="24"/>
          <w:szCs w:val="24"/>
        </w:rPr>
        <w:t xml:space="preserve"> zbatimin e ligjit në të gjitha nivelet. Kjo agjenci kreu hetime dhe mori ankesa për abuzim dhe korrupsion nga ana e policisë të cilat çuan në </w:t>
      </w:r>
      <w:r w:rsidR="009E1169" w:rsidRPr="006B700E">
        <w:rPr>
          <w:sz w:val="24"/>
          <w:szCs w:val="24"/>
        </w:rPr>
        <w:t xml:space="preserve">385 </w:t>
      </w:r>
      <w:r w:rsidR="00A6759C" w:rsidRPr="006B700E">
        <w:rPr>
          <w:sz w:val="24"/>
          <w:szCs w:val="24"/>
        </w:rPr>
        <w:t>hetime</w:t>
      </w:r>
      <w:r w:rsidR="009E1169" w:rsidRPr="006B700E">
        <w:rPr>
          <w:sz w:val="24"/>
          <w:szCs w:val="24"/>
        </w:rPr>
        <w:t>, 106 arrest</w:t>
      </w:r>
      <w:r w:rsidR="00A6759C" w:rsidRPr="006B700E">
        <w:rPr>
          <w:sz w:val="24"/>
          <w:szCs w:val="24"/>
        </w:rPr>
        <w:t>ime dhe</w:t>
      </w:r>
      <w:r w:rsidR="009E1169" w:rsidRPr="006B700E">
        <w:rPr>
          <w:sz w:val="24"/>
          <w:szCs w:val="24"/>
        </w:rPr>
        <w:t xml:space="preserve"> 61 </w:t>
      </w:r>
      <w:r w:rsidR="00A6759C" w:rsidRPr="006B700E">
        <w:rPr>
          <w:sz w:val="24"/>
          <w:szCs w:val="24"/>
        </w:rPr>
        <w:t xml:space="preserve">pezullime nga detyra të punonjësve të zbatimit të ligjit. </w:t>
      </w:r>
    </w:p>
    <w:p w14:paraId="267FC2AF" w14:textId="0E5C7C42" w:rsidR="00781FE1" w:rsidRPr="006B700E" w:rsidRDefault="00781FE1" w:rsidP="009E1169">
      <w:pPr>
        <w:pStyle w:val="Heading4"/>
      </w:pPr>
      <w:r w:rsidRPr="006B700E">
        <w:t>Kushtet në burgje dhe në qendra paraburgimi</w:t>
      </w:r>
    </w:p>
    <w:p w14:paraId="657F21B2" w14:textId="78E490D9" w:rsidR="00781FE1" w:rsidRPr="006B700E" w:rsidRDefault="00781FE1" w:rsidP="00781FE1">
      <w:pPr>
        <w:jc w:val="both"/>
        <w:rPr>
          <w:sz w:val="24"/>
          <w:szCs w:val="24"/>
        </w:rPr>
      </w:pPr>
      <w:r w:rsidRPr="006B700E">
        <w:rPr>
          <w:sz w:val="24"/>
          <w:szCs w:val="24"/>
        </w:rPr>
        <w:t xml:space="preserve">Kushtet e këqija fizike në disa burgje vazhduan të ishin problematikë që ndikon </w:t>
      </w:r>
      <w:r w:rsidR="00A036EB" w:rsidRPr="006B700E">
        <w:rPr>
          <w:sz w:val="24"/>
          <w:szCs w:val="24"/>
        </w:rPr>
        <w:t xml:space="preserve">në </w:t>
      </w:r>
      <w:r w:rsidRPr="006B700E">
        <w:rPr>
          <w:sz w:val="24"/>
          <w:szCs w:val="24"/>
        </w:rPr>
        <w:t xml:space="preserve">sistemin e burgjeve. </w:t>
      </w:r>
    </w:p>
    <w:p w14:paraId="37309EAF" w14:textId="018BEF57" w:rsidR="00781FE1" w:rsidRPr="006B700E" w:rsidRDefault="00781FE1" w:rsidP="009E1169">
      <w:pPr>
        <w:rPr>
          <w:sz w:val="24"/>
          <w:szCs w:val="24"/>
        </w:rPr>
      </w:pPr>
      <w:r w:rsidRPr="006B700E">
        <w:rPr>
          <w:sz w:val="24"/>
          <w:szCs w:val="24"/>
        </w:rPr>
        <w:t>Në muajin tetor, Instituti për Aktivizëm dhe Ndryshim Social (IANS) raportoi shqetësime n</w:t>
      </w:r>
      <w:r w:rsidR="005B49CB" w:rsidRPr="006B700E">
        <w:rPr>
          <w:sz w:val="24"/>
          <w:szCs w:val="24"/>
        </w:rPr>
        <w:t>ë</w:t>
      </w:r>
      <w:r w:rsidRPr="006B700E">
        <w:rPr>
          <w:sz w:val="24"/>
          <w:szCs w:val="24"/>
        </w:rPr>
        <w:t xml:space="preserve"> lidhje me identifikimin, rehabilitimin dhe riintegrimin e të burgosurve për ekstremizëm të dhunshëm në mjedise burgu për shkak të mungesës së standardit për praktikat </w:t>
      </w:r>
      <w:r w:rsidR="005B49CB" w:rsidRPr="006B700E">
        <w:rPr>
          <w:sz w:val="24"/>
          <w:szCs w:val="24"/>
        </w:rPr>
        <w:t>për stafin e burgjeve si e</w:t>
      </w:r>
      <w:r w:rsidRPr="006B700E">
        <w:rPr>
          <w:sz w:val="24"/>
          <w:szCs w:val="24"/>
        </w:rPr>
        <w:t>dhe trajnimit të duhur</w:t>
      </w:r>
      <w:r w:rsidR="005B49CB" w:rsidRPr="006B700E">
        <w:rPr>
          <w:sz w:val="24"/>
          <w:szCs w:val="24"/>
        </w:rPr>
        <w:t xml:space="preserve"> të tyre</w:t>
      </w:r>
      <w:r w:rsidRPr="006B700E">
        <w:rPr>
          <w:sz w:val="24"/>
          <w:szCs w:val="24"/>
        </w:rPr>
        <w:t xml:space="preserve">. </w:t>
      </w:r>
    </w:p>
    <w:p w14:paraId="147F4561" w14:textId="63E2FCE8" w:rsidR="009E1169" w:rsidRPr="006B700E" w:rsidDel="00F25451" w:rsidRDefault="005B49CB" w:rsidP="009E1169">
      <w:pPr>
        <w:rPr>
          <w:sz w:val="24"/>
          <w:szCs w:val="24"/>
        </w:rPr>
      </w:pPr>
      <w:r w:rsidRPr="006B700E">
        <w:rPr>
          <w:b/>
          <w:bCs/>
          <w:sz w:val="24"/>
          <w:szCs w:val="24"/>
        </w:rPr>
        <w:t>Kushtet fizike abuzive</w:t>
      </w:r>
      <w:r w:rsidR="009E1169" w:rsidRPr="006B700E">
        <w:rPr>
          <w:b/>
          <w:bCs/>
          <w:sz w:val="24"/>
          <w:szCs w:val="24"/>
        </w:rPr>
        <w:t>:</w:t>
      </w:r>
      <w:r w:rsidR="009E1169" w:rsidRPr="006B700E">
        <w:rPr>
          <w:sz w:val="24"/>
          <w:szCs w:val="24"/>
        </w:rPr>
        <w:t xml:space="preserve">  </w:t>
      </w:r>
      <w:r w:rsidRPr="006B700E">
        <w:rPr>
          <w:sz w:val="24"/>
          <w:szCs w:val="24"/>
        </w:rPr>
        <w:t xml:space="preserve">Kushtet e këqija në burgje në ndërtesat e vjetra mbetën problem. Gjatë inspektimeve të rregullta të burgjeve, Zyra e Avokatit të Popullit dhe Komiteti Shqiptar i Helsinkit </w:t>
      </w:r>
      <w:r w:rsidR="009E1169" w:rsidRPr="006B700E">
        <w:rPr>
          <w:sz w:val="24"/>
          <w:szCs w:val="24"/>
        </w:rPr>
        <w:t>(</w:t>
      </w:r>
      <w:r w:rsidRPr="006B700E">
        <w:rPr>
          <w:sz w:val="24"/>
          <w:szCs w:val="24"/>
        </w:rPr>
        <w:t>KS</w:t>
      </w:r>
      <w:r w:rsidR="00A036EB" w:rsidRPr="006B700E">
        <w:rPr>
          <w:sz w:val="24"/>
          <w:szCs w:val="24"/>
        </w:rPr>
        <w:t>H</w:t>
      </w:r>
      <w:r w:rsidRPr="006B700E">
        <w:rPr>
          <w:sz w:val="24"/>
          <w:szCs w:val="24"/>
        </w:rPr>
        <w:t>H</w:t>
      </w:r>
      <w:r w:rsidR="009E1169" w:rsidRPr="006B700E">
        <w:rPr>
          <w:sz w:val="24"/>
          <w:szCs w:val="24"/>
        </w:rPr>
        <w:t>) identifi</w:t>
      </w:r>
      <w:r w:rsidRPr="006B700E">
        <w:rPr>
          <w:sz w:val="24"/>
          <w:szCs w:val="24"/>
        </w:rPr>
        <w:t xml:space="preserve">kuan probleme infrastrukture në burgjet e </w:t>
      </w:r>
      <w:r w:rsidR="009E1169" w:rsidRPr="006B700E">
        <w:rPr>
          <w:sz w:val="24"/>
          <w:szCs w:val="24"/>
        </w:rPr>
        <w:t>Burrel</w:t>
      </w:r>
      <w:r w:rsidRPr="006B700E">
        <w:rPr>
          <w:sz w:val="24"/>
          <w:szCs w:val="24"/>
        </w:rPr>
        <w:t>it</w:t>
      </w:r>
      <w:r w:rsidR="009E1169" w:rsidRPr="006B700E">
        <w:rPr>
          <w:sz w:val="24"/>
          <w:szCs w:val="24"/>
        </w:rPr>
        <w:t>, Durr</w:t>
      </w:r>
      <w:r w:rsidRPr="006B700E">
        <w:rPr>
          <w:sz w:val="24"/>
          <w:szCs w:val="24"/>
        </w:rPr>
        <w:t>ë</w:t>
      </w:r>
      <w:r w:rsidR="009E1169" w:rsidRPr="006B700E">
        <w:rPr>
          <w:sz w:val="24"/>
          <w:szCs w:val="24"/>
        </w:rPr>
        <w:t>s</w:t>
      </w:r>
      <w:r w:rsidRPr="006B700E">
        <w:rPr>
          <w:sz w:val="24"/>
          <w:szCs w:val="24"/>
        </w:rPr>
        <w:t>it</w:t>
      </w:r>
      <w:r w:rsidR="009E1169" w:rsidRPr="006B700E">
        <w:rPr>
          <w:sz w:val="24"/>
          <w:szCs w:val="24"/>
        </w:rPr>
        <w:t>, Tepelen</w:t>
      </w:r>
      <w:r w:rsidRPr="006B700E">
        <w:rPr>
          <w:sz w:val="24"/>
          <w:szCs w:val="24"/>
        </w:rPr>
        <w:t xml:space="preserve">ës dhe </w:t>
      </w:r>
      <w:r w:rsidR="009E1169" w:rsidRPr="006B700E">
        <w:rPr>
          <w:sz w:val="24"/>
          <w:szCs w:val="24"/>
        </w:rPr>
        <w:t>Lezh</w:t>
      </w:r>
      <w:r w:rsidRPr="006B700E">
        <w:rPr>
          <w:sz w:val="24"/>
          <w:szCs w:val="24"/>
        </w:rPr>
        <w:t>ës</w:t>
      </w:r>
      <w:r w:rsidR="009E1169" w:rsidRPr="006B700E">
        <w:rPr>
          <w:sz w:val="24"/>
          <w:szCs w:val="24"/>
        </w:rPr>
        <w:t xml:space="preserve">. </w:t>
      </w:r>
      <w:r w:rsidRPr="006B700E">
        <w:rPr>
          <w:sz w:val="24"/>
          <w:szCs w:val="24"/>
        </w:rPr>
        <w:t xml:space="preserve">Avokati i Popullit vlerësoi se ekzistonte standard </w:t>
      </w:r>
      <w:r w:rsidR="00A036EB" w:rsidRPr="006B700E">
        <w:rPr>
          <w:sz w:val="24"/>
          <w:szCs w:val="24"/>
        </w:rPr>
        <w:t>i</w:t>
      </w:r>
      <w:r w:rsidRPr="006B700E">
        <w:rPr>
          <w:sz w:val="24"/>
          <w:szCs w:val="24"/>
        </w:rPr>
        <w:t xml:space="preserve"> dyfishtë mes </w:t>
      </w:r>
      <w:r w:rsidR="00A036EB" w:rsidRPr="006B700E">
        <w:rPr>
          <w:sz w:val="24"/>
          <w:szCs w:val="24"/>
        </w:rPr>
        <w:t>mjediseve</w:t>
      </w:r>
      <w:r w:rsidRPr="006B700E">
        <w:rPr>
          <w:sz w:val="24"/>
          <w:szCs w:val="24"/>
        </w:rPr>
        <w:t xml:space="preserve"> të sapondërtuara të burgjeve dhe atyre më të vjetra. Drejtoria e Përgjithshme e Burgjeve (DPB) mbylli </w:t>
      </w:r>
      <w:r w:rsidR="00E044A3" w:rsidRPr="006B700E">
        <w:rPr>
          <w:sz w:val="24"/>
          <w:szCs w:val="24"/>
        </w:rPr>
        <w:t xml:space="preserve">burgjet e </w:t>
      </w:r>
      <w:r w:rsidR="009E1169" w:rsidRPr="006B700E">
        <w:rPr>
          <w:sz w:val="24"/>
          <w:szCs w:val="24"/>
        </w:rPr>
        <w:t>Tropoj</w:t>
      </w:r>
      <w:r w:rsidR="00E044A3" w:rsidRPr="006B700E">
        <w:rPr>
          <w:sz w:val="24"/>
          <w:szCs w:val="24"/>
        </w:rPr>
        <w:t>ës</w:t>
      </w:r>
      <w:r w:rsidR="009E1169" w:rsidRPr="006B700E">
        <w:rPr>
          <w:sz w:val="24"/>
          <w:szCs w:val="24"/>
        </w:rPr>
        <w:t>, Vaqarr</w:t>
      </w:r>
      <w:r w:rsidR="00E044A3" w:rsidRPr="006B700E">
        <w:rPr>
          <w:sz w:val="24"/>
          <w:szCs w:val="24"/>
        </w:rPr>
        <w:t xml:space="preserve">it dhe </w:t>
      </w:r>
      <w:r w:rsidR="009E1169" w:rsidRPr="006B700E">
        <w:rPr>
          <w:sz w:val="24"/>
          <w:szCs w:val="24"/>
        </w:rPr>
        <w:t>Sarand</w:t>
      </w:r>
      <w:r w:rsidR="00E044A3" w:rsidRPr="006B700E">
        <w:rPr>
          <w:sz w:val="24"/>
          <w:szCs w:val="24"/>
        </w:rPr>
        <w:t xml:space="preserve">ës në tetor të vitit </w:t>
      </w:r>
      <w:r w:rsidR="009E1169" w:rsidRPr="006B700E">
        <w:rPr>
          <w:sz w:val="24"/>
          <w:szCs w:val="24"/>
        </w:rPr>
        <w:t>2022</w:t>
      </w:r>
      <w:r w:rsidR="00E044A3" w:rsidRPr="006B700E">
        <w:rPr>
          <w:sz w:val="24"/>
          <w:szCs w:val="24"/>
        </w:rPr>
        <w:t xml:space="preserve"> për shkak të kushteve të </w:t>
      </w:r>
      <w:r w:rsidR="00E044A3" w:rsidRPr="006B700E">
        <w:rPr>
          <w:sz w:val="24"/>
          <w:szCs w:val="24"/>
        </w:rPr>
        <w:lastRenderedPageBreak/>
        <w:t xml:space="preserve">këqija. Avokati i Popullit i rekomandoi Ministrisë së Drejtësisë të mbyllte burgjet e </w:t>
      </w:r>
      <w:r w:rsidR="009E1169" w:rsidRPr="006B700E">
        <w:rPr>
          <w:sz w:val="24"/>
          <w:szCs w:val="24"/>
        </w:rPr>
        <w:t>Burrel</w:t>
      </w:r>
      <w:r w:rsidR="00E044A3" w:rsidRPr="006B700E">
        <w:rPr>
          <w:sz w:val="24"/>
          <w:szCs w:val="24"/>
        </w:rPr>
        <w:t xml:space="preserve">it dhe </w:t>
      </w:r>
      <w:r w:rsidR="009E1169" w:rsidRPr="006B700E">
        <w:rPr>
          <w:sz w:val="24"/>
          <w:szCs w:val="24"/>
        </w:rPr>
        <w:t>Tepelen</w:t>
      </w:r>
      <w:r w:rsidR="00E044A3" w:rsidRPr="006B700E">
        <w:rPr>
          <w:sz w:val="24"/>
          <w:szCs w:val="24"/>
        </w:rPr>
        <w:t xml:space="preserve">ës për shkak të kushteve degraduese të tyre. </w:t>
      </w:r>
    </w:p>
    <w:p w14:paraId="7195549B" w14:textId="2452A33A" w:rsidR="009E1169" w:rsidRPr="006B700E" w:rsidDel="00F25451" w:rsidRDefault="003D0127" w:rsidP="009E1169">
      <w:pPr>
        <w:rPr>
          <w:color w:val="000000"/>
          <w:sz w:val="24"/>
          <w:szCs w:val="24"/>
        </w:rPr>
      </w:pPr>
      <w:r w:rsidRPr="006B700E">
        <w:rPr>
          <w:sz w:val="24"/>
          <w:szCs w:val="24"/>
        </w:rPr>
        <w:t xml:space="preserve">Mungesa e kujdesit shëndetësor, në veçanti për kushtet e shëndetit mendor, ishte problem. </w:t>
      </w:r>
      <w:r w:rsidRPr="006B700E">
        <w:rPr>
          <w:color w:val="000000"/>
          <w:sz w:val="24"/>
          <w:szCs w:val="24"/>
        </w:rPr>
        <w:t>Komiteti i Këshillit të Europës për Parandalimin e Torturës (KPT) në raportin e muajit prill n</w:t>
      </w:r>
      <w:r w:rsidR="0002107A" w:rsidRPr="006B700E">
        <w:rPr>
          <w:color w:val="000000"/>
          <w:sz w:val="24"/>
          <w:szCs w:val="24"/>
        </w:rPr>
        <w:t>x</w:t>
      </w:r>
      <w:r w:rsidRPr="006B700E">
        <w:rPr>
          <w:color w:val="000000"/>
          <w:sz w:val="24"/>
          <w:szCs w:val="24"/>
        </w:rPr>
        <w:t>iti qeverinë të ngrinte një ndërtesë të re për të siguruar mjedis terapeutik dhe program trajtimi shumëdisiplin</w:t>
      </w:r>
      <w:r w:rsidR="0002107A" w:rsidRPr="006B700E">
        <w:rPr>
          <w:color w:val="000000"/>
          <w:sz w:val="24"/>
          <w:szCs w:val="24"/>
        </w:rPr>
        <w:t>o</w:t>
      </w:r>
      <w:r w:rsidRPr="006B700E">
        <w:rPr>
          <w:color w:val="000000"/>
          <w:sz w:val="24"/>
          <w:szCs w:val="24"/>
        </w:rPr>
        <w:t>r për t</w:t>
      </w:r>
      <w:r w:rsidR="0002107A" w:rsidRPr="006B700E">
        <w:rPr>
          <w:color w:val="000000"/>
          <w:sz w:val="24"/>
          <w:szCs w:val="24"/>
        </w:rPr>
        <w:t>ë</w:t>
      </w:r>
      <w:r w:rsidRPr="006B700E">
        <w:rPr>
          <w:color w:val="000000"/>
          <w:sz w:val="24"/>
          <w:szCs w:val="24"/>
        </w:rPr>
        <w:t xml:space="preserve"> gjithë pacientët psikiatrikë të sistemit të drejtësisë. Ministria e Drejtësisë e mbylli burgun e </w:t>
      </w:r>
      <w:r w:rsidR="009E1169" w:rsidRPr="006B700E">
        <w:rPr>
          <w:sz w:val="24"/>
          <w:szCs w:val="24"/>
        </w:rPr>
        <w:t>Zahari</w:t>
      </w:r>
      <w:r w:rsidRPr="006B700E">
        <w:rPr>
          <w:sz w:val="24"/>
          <w:szCs w:val="24"/>
        </w:rPr>
        <w:t xml:space="preserve">së në nëntor të vitit </w:t>
      </w:r>
      <w:r w:rsidR="009E1169" w:rsidRPr="006B700E">
        <w:rPr>
          <w:sz w:val="24"/>
          <w:szCs w:val="24"/>
        </w:rPr>
        <w:t xml:space="preserve">2021 </w:t>
      </w:r>
      <w:r w:rsidRPr="006B700E">
        <w:rPr>
          <w:sz w:val="24"/>
          <w:szCs w:val="24"/>
        </w:rPr>
        <w:t xml:space="preserve">dhe i transferoi të burgosurit e </w:t>
      </w:r>
      <w:r w:rsidR="0010734B" w:rsidRPr="006B700E">
        <w:rPr>
          <w:sz w:val="24"/>
          <w:szCs w:val="24"/>
        </w:rPr>
        <w:t xml:space="preserve">atjeshëm në burgjet e </w:t>
      </w:r>
      <w:r w:rsidR="009E1169" w:rsidRPr="006B700E">
        <w:rPr>
          <w:sz w:val="24"/>
          <w:szCs w:val="24"/>
        </w:rPr>
        <w:t>Sh</w:t>
      </w:r>
      <w:r w:rsidR="0010734B" w:rsidRPr="006B700E">
        <w:rPr>
          <w:sz w:val="24"/>
          <w:szCs w:val="24"/>
        </w:rPr>
        <w:t>ë</w:t>
      </w:r>
      <w:r w:rsidR="009E1169" w:rsidRPr="006B700E">
        <w:rPr>
          <w:sz w:val="24"/>
          <w:szCs w:val="24"/>
        </w:rPr>
        <w:t>n Koll</w:t>
      </w:r>
      <w:r w:rsidR="0010734B" w:rsidRPr="006B700E">
        <w:rPr>
          <w:sz w:val="24"/>
          <w:szCs w:val="24"/>
        </w:rPr>
        <w:t xml:space="preserve">it dhe të </w:t>
      </w:r>
      <w:r w:rsidR="009E1169" w:rsidRPr="006B700E">
        <w:rPr>
          <w:sz w:val="24"/>
          <w:szCs w:val="24"/>
        </w:rPr>
        <w:t>Lezh</w:t>
      </w:r>
      <w:r w:rsidR="0010734B" w:rsidRPr="006B700E">
        <w:rPr>
          <w:sz w:val="24"/>
          <w:szCs w:val="24"/>
        </w:rPr>
        <w:t>ës</w:t>
      </w:r>
      <w:r w:rsidR="009E1169" w:rsidRPr="006B700E">
        <w:rPr>
          <w:sz w:val="24"/>
          <w:szCs w:val="24"/>
        </w:rPr>
        <w:t xml:space="preserve">. </w:t>
      </w:r>
      <w:r w:rsidR="0010734B" w:rsidRPr="006B700E">
        <w:rPr>
          <w:sz w:val="24"/>
          <w:szCs w:val="24"/>
        </w:rPr>
        <w:t>KS</w:t>
      </w:r>
      <w:r w:rsidR="0002107A" w:rsidRPr="006B700E">
        <w:rPr>
          <w:sz w:val="24"/>
          <w:szCs w:val="24"/>
        </w:rPr>
        <w:t>H</w:t>
      </w:r>
      <w:r w:rsidR="0010734B" w:rsidRPr="006B700E">
        <w:rPr>
          <w:sz w:val="24"/>
          <w:szCs w:val="24"/>
        </w:rPr>
        <w:t>H-</w:t>
      </w:r>
      <w:r w:rsidR="0002107A" w:rsidRPr="006B700E">
        <w:rPr>
          <w:sz w:val="24"/>
          <w:szCs w:val="24"/>
        </w:rPr>
        <w:t>j</w:t>
      </w:r>
      <w:r w:rsidR="0010734B" w:rsidRPr="006B700E">
        <w:rPr>
          <w:sz w:val="24"/>
          <w:szCs w:val="24"/>
        </w:rPr>
        <w:t xml:space="preserve">a raportoi se mbyllja e burgut nuk i zgjidhi e as nuk i përmirësoi kushtet e të burgosurve me problematika psikiatrike dhe se nuk u respektua vendimi i Gjykatës së Strasburgut i janarit të vitit 2020 në lidhje me çështjen </w:t>
      </w:r>
      <w:r w:rsidR="0002107A" w:rsidRPr="006B700E">
        <w:rPr>
          <w:sz w:val="24"/>
          <w:szCs w:val="24"/>
        </w:rPr>
        <w:t>“</w:t>
      </w:r>
      <w:r w:rsidR="009E1169" w:rsidRPr="006B700E">
        <w:rPr>
          <w:sz w:val="24"/>
          <w:szCs w:val="24"/>
        </w:rPr>
        <w:t xml:space="preserve">Strazimiri </w:t>
      </w:r>
      <w:r w:rsidR="0010734B" w:rsidRPr="006B700E">
        <w:rPr>
          <w:sz w:val="24"/>
          <w:szCs w:val="24"/>
        </w:rPr>
        <w:t>kundër</w:t>
      </w:r>
      <w:r w:rsidR="009E1169" w:rsidRPr="006B700E">
        <w:rPr>
          <w:sz w:val="24"/>
          <w:szCs w:val="24"/>
        </w:rPr>
        <w:t xml:space="preserve"> </w:t>
      </w:r>
      <w:r w:rsidR="0010734B" w:rsidRPr="006B700E">
        <w:rPr>
          <w:sz w:val="24"/>
          <w:szCs w:val="24"/>
        </w:rPr>
        <w:t>Shqipërisë</w:t>
      </w:r>
      <w:r w:rsidR="0002107A" w:rsidRPr="006B700E">
        <w:rPr>
          <w:sz w:val="24"/>
          <w:szCs w:val="24"/>
        </w:rPr>
        <w:t>”</w:t>
      </w:r>
      <w:r w:rsidR="0010734B" w:rsidRPr="006B700E">
        <w:rPr>
          <w:sz w:val="24"/>
          <w:szCs w:val="24"/>
        </w:rPr>
        <w:t xml:space="preserve">, vendim i cili urdhëronte qeverinë të krijonte “institucionin e duhur” për strehimin e të burgosurve me probleme psikiatrike. </w:t>
      </w:r>
    </w:p>
    <w:p w14:paraId="08DBAB42" w14:textId="53042E04" w:rsidR="009E1169" w:rsidRPr="006B700E" w:rsidDel="00F25451" w:rsidRDefault="00776AB5" w:rsidP="00776AB5">
      <w:pPr>
        <w:rPr>
          <w:sz w:val="24"/>
          <w:szCs w:val="24"/>
        </w:rPr>
      </w:pPr>
      <w:r w:rsidRPr="006B700E">
        <w:rPr>
          <w:sz w:val="24"/>
          <w:szCs w:val="24"/>
        </w:rPr>
        <w:t xml:space="preserve">Me përjashtim të mjediseve rajonale në </w:t>
      </w:r>
      <w:r w:rsidR="009E1169" w:rsidRPr="006B700E">
        <w:rPr>
          <w:sz w:val="24"/>
          <w:szCs w:val="24"/>
        </w:rPr>
        <w:t>Tiran</w:t>
      </w:r>
      <w:r w:rsidRPr="006B700E">
        <w:rPr>
          <w:sz w:val="24"/>
          <w:szCs w:val="24"/>
        </w:rPr>
        <w:t>ë</w:t>
      </w:r>
      <w:r w:rsidR="009E1169" w:rsidRPr="006B700E">
        <w:rPr>
          <w:sz w:val="24"/>
          <w:szCs w:val="24"/>
        </w:rPr>
        <w:t>, Gjirokast</w:t>
      </w:r>
      <w:r w:rsidRPr="006B700E">
        <w:rPr>
          <w:sz w:val="24"/>
          <w:szCs w:val="24"/>
        </w:rPr>
        <w:t>ë</w:t>
      </w:r>
      <w:r w:rsidR="009E1169" w:rsidRPr="006B700E">
        <w:rPr>
          <w:sz w:val="24"/>
          <w:szCs w:val="24"/>
        </w:rPr>
        <w:t>r, Kuk</w:t>
      </w:r>
      <w:r w:rsidRPr="006B700E">
        <w:rPr>
          <w:sz w:val="24"/>
          <w:szCs w:val="24"/>
        </w:rPr>
        <w:t>ë</w:t>
      </w:r>
      <w:r w:rsidR="009E1169" w:rsidRPr="006B700E">
        <w:rPr>
          <w:sz w:val="24"/>
          <w:szCs w:val="24"/>
        </w:rPr>
        <w:t>s, Fier</w:t>
      </w:r>
      <w:r w:rsidRPr="006B700E">
        <w:rPr>
          <w:sz w:val="24"/>
          <w:szCs w:val="24"/>
        </w:rPr>
        <w:t xml:space="preserve"> dhe në </w:t>
      </w:r>
      <w:r w:rsidR="009E1169" w:rsidRPr="006B700E">
        <w:rPr>
          <w:sz w:val="24"/>
          <w:szCs w:val="24"/>
        </w:rPr>
        <w:t>Kor</w:t>
      </w:r>
      <w:r w:rsidRPr="006B700E">
        <w:rPr>
          <w:sz w:val="24"/>
          <w:szCs w:val="24"/>
        </w:rPr>
        <w:t xml:space="preserve">çë, kushtet në mjediset e burgjeve të administruara nga Ministria e Brendshme, si për shembull rajonet e policisë dhe qendrat e përkohshme të paraburgimit, ishin të këqija. Disa mjedise paraburgimi nuk ishin ngrohje gjatë dimrit dhe kishin mungesë të kushteve bazë të higjienës dhe të dezinfektantëve si masa për parandalimin e përhapjes së </w:t>
      </w:r>
      <w:r w:rsidR="009E1169" w:rsidRPr="006B700E">
        <w:rPr>
          <w:sz w:val="24"/>
          <w:szCs w:val="24"/>
        </w:rPr>
        <w:t>COVID-19.</w:t>
      </w:r>
      <w:r w:rsidRPr="006B700E">
        <w:rPr>
          <w:sz w:val="24"/>
          <w:szCs w:val="24"/>
        </w:rPr>
        <w:t xml:space="preserve"> Mjediset ishin të mbipopulluara, kishin akses të kufizuar në banja dhe </w:t>
      </w:r>
      <w:r w:rsidR="00073644" w:rsidRPr="006B700E">
        <w:rPr>
          <w:sz w:val="24"/>
          <w:szCs w:val="24"/>
        </w:rPr>
        <w:t xml:space="preserve">kishin pas ose aspak ajrosje, dritë natyrale apo shtretër dhe stola. Sistemet e monitorimit me kamera ishin të pamjaftueshme në shumë prej rajoneve të policisë. Drejtori i Përgjithshëm i Policisë së Shtetit raportoi se mjediset e paraburgimit që administronin ata – veçanërisht në Tiranë, </w:t>
      </w:r>
      <w:r w:rsidR="009E1169" w:rsidRPr="006B700E">
        <w:rPr>
          <w:sz w:val="24"/>
          <w:szCs w:val="24"/>
        </w:rPr>
        <w:t>Fier</w:t>
      </w:r>
      <w:r w:rsidR="00073644" w:rsidRPr="006B700E">
        <w:rPr>
          <w:sz w:val="24"/>
          <w:szCs w:val="24"/>
        </w:rPr>
        <w:t xml:space="preserve"> dhe në </w:t>
      </w:r>
      <w:r w:rsidR="009E1169" w:rsidRPr="006B700E">
        <w:rPr>
          <w:sz w:val="24"/>
          <w:szCs w:val="24"/>
        </w:rPr>
        <w:t>Durr</w:t>
      </w:r>
      <w:r w:rsidR="00073644" w:rsidRPr="006B700E">
        <w:rPr>
          <w:sz w:val="24"/>
          <w:szCs w:val="24"/>
        </w:rPr>
        <w:t>ë</w:t>
      </w:r>
      <w:r w:rsidR="009E1169" w:rsidRPr="006B700E">
        <w:rPr>
          <w:sz w:val="24"/>
          <w:szCs w:val="24"/>
        </w:rPr>
        <w:t xml:space="preserve">s – </w:t>
      </w:r>
      <w:r w:rsidR="00073644" w:rsidRPr="006B700E">
        <w:rPr>
          <w:sz w:val="24"/>
          <w:szCs w:val="24"/>
        </w:rPr>
        <w:t xml:space="preserve">ishin të mbipopulluara pas operacioneve të policisë dhe për shkak të vonesave në pranimin e të ndaluarve. </w:t>
      </w:r>
    </w:p>
    <w:p w14:paraId="240B4D24" w14:textId="69144B5A" w:rsidR="00AC012D" w:rsidRPr="006B700E" w:rsidRDefault="00073644" w:rsidP="00AC012D">
      <w:pPr>
        <w:rPr>
          <w:sz w:val="24"/>
          <w:szCs w:val="24"/>
        </w:rPr>
      </w:pPr>
      <w:r w:rsidRPr="006B700E">
        <w:rPr>
          <w:sz w:val="24"/>
          <w:szCs w:val="24"/>
        </w:rPr>
        <w:t>KS</w:t>
      </w:r>
      <w:r w:rsidR="003D1E4C" w:rsidRPr="006B700E">
        <w:rPr>
          <w:sz w:val="24"/>
          <w:szCs w:val="24"/>
        </w:rPr>
        <w:t>H</w:t>
      </w:r>
      <w:r w:rsidRPr="006B700E">
        <w:rPr>
          <w:sz w:val="24"/>
          <w:szCs w:val="24"/>
        </w:rPr>
        <w:t xml:space="preserve">H-ja ngriti shqetësime në lidhje me vetëvrasjen e 4 majit të një të ndaluari në rajonin e policisë </w:t>
      </w:r>
      <w:r w:rsidR="003D1E4C" w:rsidRPr="006B700E">
        <w:rPr>
          <w:sz w:val="24"/>
          <w:szCs w:val="24"/>
        </w:rPr>
        <w:t xml:space="preserve">së </w:t>
      </w:r>
      <w:r w:rsidRPr="006B700E">
        <w:rPr>
          <w:sz w:val="24"/>
          <w:szCs w:val="24"/>
        </w:rPr>
        <w:t>Kavajë</w:t>
      </w:r>
      <w:r w:rsidR="003D1E4C" w:rsidRPr="006B700E">
        <w:rPr>
          <w:sz w:val="24"/>
          <w:szCs w:val="24"/>
        </w:rPr>
        <w:t>s</w:t>
      </w:r>
      <w:r w:rsidRPr="006B700E">
        <w:rPr>
          <w:sz w:val="24"/>
          <w:szCs w:val="24"/>
        </w:rPr>
        <w:t>. KS</w:t>
      </w:r>
      <w:r w:rsidR="003D1E4C" w:rsidRPr="006B700E">
        <w:rPr>
          <w:sz w:val="24"/>
          <w:szCs w:val="24"/>
        </w:rPr>
        <w:t>H</w:t>
      </w:r>
      <w:r w:rsidRPr="006B700E">
        <w:rPr>
          <w:sz w:val="24"/>
          <w:szCs w:val="24"/>
        </w:rPr>
        <w:t>H-ja ngriti akuza për zbatimin e pasaktë të Kodit të Procedurës Penal</w:t>
      </w:r>
      <w:r w:rsidR="003D1E4C" w:rsidRPr="006B700E">
        <w:rPr>
          <w:sz w:val="24"/>
          <w:szCs w:val="24"/>
        </w:rPr>
        <w:t>e</w:t>
      </w:r>
      <w:r w:rsidRPr="006B700E">
        <w:rPr>
          <w:sz w:val="24"/>
          <w:szCs w:val="24"/>
        </w:rPr>
        <w:t xml:space="preserve"> lidhur me të drejtën e të ndaluarit për t’u parë nga mjeku, dhomë parandalimi nën standardin që mundësoi të ndaluarin të varte veten, mospërputhje në deklarimet e stafit dhe mosplotësimi </w:t>
      </w:r>
      <w:r w:rsidR="00AC012D" w:rsidRPr="006B700E">
        <w:rPr>
          <w:sz w:val="24"/>
          <w:szCs w:val="24"/>
        </w:rPr>
        <w:t>i dokumentacionit të nevojshëm nga autoritetet. Një hetim i brendshëm nga Agjencia e Mbikëqyrjes Policore doli në përfundimin se nuk kishte shenja lëndimi apo prova dhun</w:t>
      </w:r>
      <w:r w:rsidR="003D1E4C" w:rsidRPr="006B700E">
        <w:rPr>
          <w:sz w:val="24"/>
          <w:szCs w:val="24"/>
        </w:rPr>
        <w:t>e</w:t>
      </w:r>
      <w:r w:rsidR="00AC012D" w:rsidRPr="006B700E">
        <w:rPr>
          <w:sz w:val="24"/>
          <w:szCs w:val="24"/>
        </w:rPr>
        <w:t xml:space="preserve">. Në datën 5 maj, agjencia arrestoi tre punonjës policie, të cilët ishin përgjegjës për të ndaluarin, për abuzim me detyrën.  </w:t>
      </w:r>
    </w:p>
    <w:p w14:paraId="46FBA1DE" w14:textId="4A9BB275" w:rsidR="003F0FFD" w:rsidRPr="006B700E" w:rsidRDefault="009E1169" w:rsidP="003F0FFD">
      <w:pPr>
        <w:rPr>
          <w:sz w:val="24"/>
          <w:szCs w:val="24"/>
        </w:rPr>
      </w:pPr>
      <w:r w:rsidRPr="006B700E">
        <w:rPr>
          <w:b/>
          <w:bCs/>
          <w:sz w:val="24"/>
          <w:szCs w:val="24"/>
        </w:rPr>
        <w:lastRenderedPageBreak/>
        <w:t>Administri</w:t>
      </w:r>
      <w:r w:rsidR="008809C7" w:rsidRPr="006B700E">
        <w:rPr>
          <w:b/>
          <w:bCs/>
          <w:sz w:val="24"/>
          <w:szCs w:val="24"/>
        </w:rPr>
        <w:t>mi</w:t>
      </w:r>
      <w:r w:rsidRPr="006B700E">
        <w:rPr>
          <w:b/>
          <w:bCs/>
          <w:sz w:val="24"/>
          <w:szCs w:val="24"/>
        </w:rPr>
        <w:t>:</w:t>
      </w:r>
      <w:r w:rsidRPr="006B700E">
        <w:rPr>
          <w:sz w:val="24"/>
          <w:szCs w:val="24"/>
        </w:rPr>
        <w:t xml:space="preserve"> A</w:t>
      </w:r>
      <w:r w:rsidRPr="006B700E">
        <w:rPr>
          <w:color w:val="000000" w:themeColor="text1"/>
          <w:sz w:val="24"/>
          <w:szCs w:val="24"/>
        </w:rPr>
        <w:t>utorite</w:t>
      </w:r>
      <w:r w:rsidR="001D60E8" w:rsidRPr="006B700E">
        <w:rPr>
          <w:color w:val="000000" w:themeColor="text1"/>
          <w:sz w:val="24"/>
          <w:szCs w:val="24"/>
        </w:rPr>
        <w:t xml:space="preserve">tet kryen hetime për akuza të besueshme për keqtrajtim. Avokati i Popullit mori </w:t>
      </w:r>
      <w:r w:rsidRPr="006B700E">
        <w:rPr>
          <w:sz w:val="24"/>
          <w:szCs w:val="24"/>
        </w:rPr>
        <w:t xml:space="preserve">22 </w:t>
      </w:r>
      <w:r w:rsidR="001D60E8" w:rsidRPr="006B700E">
        <w:rPr>
          <w:sz w:val="24"/>
          <w:szCs w:val="24"/>
        </w:rPr>
        <w:t xml:space="preserve">ankesa, katër nga të cilat ishin kundër forcave të policisë së shtetit dhe </w:t>
      </w:r>
      <w:r w:rsidRPr="006B700E">
        <w:rPr>
          <w:sz w:val="24"/>
          <w:szCs w:val="24"/>
        </w:rPr>
        <w:t>18</w:t>
      </w:r>
      <w:r w:rsidR="001D60E8" w:rsidRPr="006B700E">
        <w:rPr>
          <w:sz w:val="24"/>
          <w:szCs w:val="24"/>
        </w:rPr>
        <w:t xml:space="preserve"> kundër punonjësve të burgjeve</w:t>
      </w:r>
      <w:r w:rsidR="003D1E4C" w:rsidRPr="006B700E">
        <w:rPr>
          <w:sz w:val="24"/>
          <w:szCs w:val="24"/>
        </w:rPr>
        <w:t>,</w:t>
      </w:r>
      <w:r w:rsidR="001D60E8" w:rsidRPr="006B700E">
        <w:rPr>
          <w:sz w:val="24"/>
          <w:szCs w:val="24"/>
        </w:rPr>
        <w:t xml:space="preserve"> por nuk çoi asnjë prej këtyre rasteve për procedim. Avokati i Popullit raportoi se zyrtarët e burgjeve dhe të policisë në përgjithësi bashkëpunuan me hetimet. </w:t>
      </w:r>
      <w:r w:rsidR="003F0FFD" w:rsidRPr="006B700E">
        <w:rPr>
          <w:sz w:val="24"/>
          <w:szCs w:val="24"/>
        </w:rPr>
        <w:t xml:space="preserve">DPB-ja raportoi se kishte kryer procedime disiplinore kundër </w:t>
      </w:r>
      <w:r w:rsidRPr="006B700E">
        <w:rPr>
          <w:sz w:val="24"/>
          <w:szCs w:val="24"/>
        </w:rPr>
        <w:t xml:space="preserve">170 </w:t>
      </w:r>
      <w:r w:rsidR="003F0FFD" w:rsidRPr="006B700E">
        <w:rPr>
          <w:sz w:val="24"/>
          <w:szCs w:val="24"/>
        </w:rPr>
        <w:t xml:space="preserve">punonjës burgjesh </w:t>
      </w:r>
      <w:r w:rsidRPr="006B700E">
        <w:rPr>
          <w:sz w:val="24"/>
          <w:szCs w:val="24"/>
        </w:rPr>
        <w:t>(civil</w:t>
      </w:r>
      <w:r w:rsidR="003F0FFD" w:rsidRPr="006B700E">
        <w:rPr>
          <w:sz w:val="24"/>
          <w:szCs w:val="24"/>
        </w:rPr>
        <w:t>ë dhe me uniformë</w:t>
      </w:r>
      <w:r w:rsidRPr="006B700E">
        <w:rPr>
          <w:sz w:val="24"/>
          <w:szCs w:val="24"/>
        </w:rPr>
        <w:t xml:space="preserve">), </w:t>
      </w:r>
      <w:r w:rsidR="003F0FFD" w:rsidRPr="006B700E">
        <w:rPr>
          <w:sz w:val="24"/>
          <w:szCs w:val="24"/>
        </w:rPr>
        <w:t xml:space="preserve">kishte pushuar gjashtë dhe kishte paditur gjashtë të tjerë për korrupsion. Më 25 prill, drejtori në detyrë i burgut të Shkodrës, </w:t>
      </w:r>
      <w:r w:rsidRPr="006B700E">
        <w:rPr>
          <w:sz w:val="24"/>
          <w:szCs w:val="24"/>
        </w:rPr>
        <w:t xml:space="preserve">Ervis Zika, </w:t>
      </w:r>
      <w:r w:rsidR="003F0FFD" w:rsidRPr="006B700E">
        <w:rPr>
          <w:sz w:val="24"/>
          <w:szCs w:val="24"/>
        </w:rPr>
        <w:t xml:space="preserve">u arrestua me akuza abuzimi me detyrën. Paraardhësi i tij ishte pushuar nga puna në muajin janar dhe ishte akuzuar për falsifikim dokumentesh. </w:t>
      </w:r>
    </w:p>
    <w:p w14:paraId="66379BFA" w14:textId="61559FA3" w:rsidR="009E1169" w:rsidRPr="006B700E" w:rsidRDefault="003F0FFD" w:rsidP="009E1169">
      <w:pPr>
        <w:rPr>
          <w:sz w:val="24"/>
          <w:szCs w:val="24"/>
        </w:rPr>
      </w:pPr>
      <w:r w:rsidRPr="006B700E">
        <w:rPr>
          <w:sz w:val="24"/>
          <w:szCs w:val="24"/>
        </w:rPr>
        <w:t xml:space="preserve">Deri në muajin gusht, gjashtë të burgosur ishin në një regjim të veçantë ligjor të miratuar në korrik të vitit 2020 për të minimizuar komunikimet mes kontakteve të dyshuara për krim të organizuar dhe anëtarëve të bandave </w:t>
      </w:r>
      <w:r w:rsidR="003D1E4C" w:rsidRPr="006B700E">
        <w:rPr>
          <w:sz w:val="24"/>
          <w:szCs w:val="24"/>
        </w:rPr>
        <w:t>n</w:t>
      </w:r>
      <w:r w:rsidRPr="006B700E">
        <w:rPr>
          <w:sz w:val="24"/>
          <w:szCs w:val="24"/>
        </w:rPr>
        <w:t>ë burg</w:t>
      </w:r>
      <w:r w:rsidR="003D1E4C" w:rsidRPr="006B700E">
        <w:rPr>
          <w:sz w:val="24"/>
          <w:szCs w:val="24"/>
        </w:rPr>
        <w:t>im</w:t>
      </w:r>
      <w:r w:rsidRPr="006B700E">
        <w:rPr>
          <w:sz w:val="24"/>
          <w:szCs w:val="24"/>
        </w:rPr>
        <w:t xml:space="preserve">. </w:t>
      </w:r>
      <w:r w:rsidR="009E1169" w:rsidRPr="006B700E">
        <w:rPr>
          <w:sz w:val="24"/>
          <w:szCs w:val="24"/>
        </w:rPr>
        <w:t>IANS</w:t>
      </w:r>
      <w:r w:rsidRPr="006B700E">
        <w:rPr>
          <w:sz w:val="24"/>
          <w:szCs w:val="24"/>
        </w:rPr>
        <w:t xml:space="preserve">-i raportoi se zbatimi i regjimit të veçantë ngriti shqetësime pasi nuk mund të monitorohej në mënyrë të pavarur. </w:t>
      </w:r>
    </w:p>
    <w:p w14:paraId="4A6F0DE3" w14:textId="30E3D015" w:rsidR="0028772E" w:rsidRPr="006B700E" w:rsidRDefault="006A5453" w:rsidP="0028772E">
      <w:pPr>
        <w:rPr>
          <w:sz w:val="24"/>
          <w:szCs w:val="24"/>
        </w:rPr>
      </w:pPr>
      <w:r w:rsidRPr="006B700E">
        <w:rPr>
          <w:sz w:val="24"/>
          <w:szCs w:val="24"/>
        </w:rPr>
        <w:t>KS</w:t>
      </w:r>
      <w:r w:rsidR="003D1E4C" w:rsidRPr="006B700E">
        <w:rPr>
          <w:sz w:val="24"/>
          <w:szCs w:val="24"/>
        </w:rPr>
        <w:t>H</w:t>
      </w:r>
      <w:r w:rsidRPr="006B700E">
        <w:rPr>
          <w:sz w:val="24"/>
          <w:szCs w:val="24"/>
        </w:rPr>
        <w:t xml:space="preserve">H-ja raportoi se në muajin prill qeveria </w:t>
      </w:r>
      <w:r w:rsidR="0028772E" w:rsidRPr="006B700E">
        <w:rPr>
          <w:sz w:val="24"/>
          <w:szCs w:val="24"/>
        </w:rPr>
        <w:t>hoqi masat kundër</w:t>
      </w:r>
      <w:r w:rsidR="009E1169" w:rsidRPr="006B700E">
        <w:rPr>
          <w:sz w:val="24"/>
          <w:szCs w:val="24"/>
        </w:rPr>
        <w:t xml:space="preserve">-COVID-19 </w:t>
      </w:r>
      <w:r w:rsidR="0028772E" w:rsidRPr="006B700E">
        <w:rPr>
          <w:sz w:val="24"/>
          <w:szCs w:val="24"/>
        </w:rPr>
        <w:t>në burgje, duke lejuar kështu të burgosurit të takoheshin fizikisht me familjarët. KS</w:t>
      </w:r>
      <w:r w:rsidR="003D1E4C" w:rsidRPr="006B700E">
        <w:rPr>
          <w:sz w:val="24"/>
          <w:szCs w:val="24"/>
        </w:rPr>
        <w:t>H</w:t>
      </w:r>
      <w:r w:rsidR="0028772E" w:rsidRPr="006B700E">
        <w:rPr>
          <w:sz w:val="24"/>
          <w:szCs w:val="24"/>
        </w:rPr>
        <w:t xml:space="preserve">H-ja raportoi se një i burgosur kosovar në burgun e Shkodrës u ankua sepse administrata e burgut nuk e kishte lejuar të shkëmbente të gjitha seancat e vizitave me seanca virtuale </w:t>
      </w:r>
      <w:r w:rsidR="003D1E4C" w:rsidRPr="006B700E">
        <w:rPr>
          <w:sz w:val="24"/>
          <w:szCs w:val="24"/>
        </w:rPr>
        <w:t>pasi</w:t>
      </w:r>
      <w:r w:rsidR="0028772E" w:rsidRPr="006B700E">
        <w:rPr>
          <w:sz w:val="24"/>
          <w:szCs w:val="24"/>
        </w:rPr>
        <w:t xml:space="preserve"> familja e tij nuk ndodhej brenda vendit. Administrata e burgut arsyetoi se legjislacioni lejonte vetëm një shkëmbim takimesh. KS</w:t>
      </w:r>
      <w:r w:rsidR="003D1E4C" w:rsidRPr="006B700E">
        <w:rPr>
          <w:sz w:val="24"/>
          <w:szCs w:val="24"/>
        </w:rPr>
        <w:t>H</w:t>
      </w:r>
      <w:r w:rsidR="0028772E" w:rsidRPr="006B700E">
        <w:rPr>
          <w:sz w:val="24"/>
          <w:szCs w:val="24"/>
        </w:rPr>
        <w:t xml:space="preserve">H-ja vërejti se ndonëse nuk pati raste të provuara korrupsioni në sistemin e burgjeve, disa të burgosur që iu nënshtruan transferimit të brendshëm vunë pikëpyetje mbi integritetin e praktikave të transferimit. Të burgosurit e transferuar ngritën akuza se u transferuan në burgje larg nga familjet e tyre për arsye disiplinore e jo për arsye rregullatore.   </w:t>
      </w:r>
    </w:p>
    <w:p w14:paraId="487CCD10" w14:textId="638F8C79" w:rsidR="0028772E" w:rsidRPr="006B700E" w:rsidRDefault="0028772E" w:rsidP="0028772E">
      <w:pPr>
        <w:spacing w:after="0"/>
        <w:jc w:val="both"/>
        <w:rPr>
          <w:color w:val="000000"/>
          <w:sz w:val="24"/>
          <w:szCs w:val="24"/>
        </w:rPr>
      </w:pPr>
      <w:r w:rsidRPr="006B700E">
        <w:rPr>
          <w:b/>
          <w:sz w:val="24"/>
          <w:szCs w:val="24"/>
        </w:rPr>
        <w:t>Monitorimi i pavarur:</w:t>
      </w:r>
      <w:r w:rsidRPr="006B700E">
        <w:rPr>
          <w:sz w:val="24"/>
          <w:szCs w:val="24"/>
        </w:rPr>
        <w:t xml:space="preserve"> </w:t>
      </w:r>
      <w:r w:rsidR="00145880" w:rsidRPr="006B700E">
        <w:rPr>
          <w:sz w:val="24"/>
          <w:szCs w:val="24"/>
        </w:rPr>
        <w:t>G</w:t>
      </w:r>
      <w:r w:rsidRPr="006B700E">
        <w:rPr>
          <w:sz w:val="24"/>
          <w:szCs w:val="24"/>
        </w:rPr>
        <w:t xml:space="preserve">rupet </w:t>
      </w:r>
      <w:r w:rsidR="00145880" w:rsidRPr="006B700E">
        <w:rPr>
          <w:sz w:val="24"/>
          <w:szCs w:val="24"/>
        </w:rPr>
        <w:t>e</w:t>
      </w:r>
      <w:r w:rsidRPr="006B700E">
        <w:rPr>
          <w:sz w:val="24"/>
          <w:szCs w:val="24"/>
        </w:rPr>
        <w:t xml:space="preserve"> të drejtave të njeriut</w:t>
      </w:r>
      <w:r w:rsidR="003D1E4C" w:rsidRPr="006B700E">
        <w:rPr>
          <w:sz w:val="24"/>
          <w:szCs w:val="24"/>
        </w:rPr>
        <w:t>,</w:t>
      </w:r>
      <w:r w:rsidRPr="006B700E">
        <w:rPr>
          <w:sz w:val="24"/>
          <w:szCs w:val="24"/>
        </w:rPr>
        <w:t xml:space="preserve"> vendase dhe ndërkombëtare, media</w:t>
      </w:r>
      <w:r w:rsidR="00145880" w:rsidRPr="006B700E">
        <w:rPr>
          <w:sz w:val="24"/>
          <w:szCs w:val="24"/>
        </w:rPr>
        <w:t xml:space="preserve"> dhe </w:t>
      </w:r>
      <w:r w:rsidRPr="006B700E">
        <w:rPr>
          <w:sz w:val="24"/>
          <w:szCs w:val="24"/>
        </w:rPr>
        <w:t xml:space="preserve"> organizmat ndërkombëtare, si për shembull Komi</w:t>
      </w:r>
      <w:r w:rsidR="006B700E">
        <w:rPr>
          <w:sz w:val="24"/>
          <w:szCs w:val="24"/>
        </w:rPr>
        <w:t>teti</w:t>
      </w:r>
      <w:r w:rsidRPr="006B700E">
        <w:rPr>
          <w:sz w:val="24"/>
          <w:szCs w:val="24"/>
        </w:rPr>
        <w:t xml:space="preserve"> për Parandalimin e Torturës,</w:t>
      </w:r>
      <w:r w:rsidR="00145880" w:rsidRPr="006B700E">
        <w:rPr>
          <w:sz w:val="24"/>
          <w:szCs w:val="24"/>
        </w:rPr>
        <w:t xml:space="preserve"> raportuan se u lejuan </w:t>
      </w:r>
      <w:r w:rsidRPr="006B700E">
        <w:rPr>
          <w:sz w:val="24"/>
          <w:szCs w:val="24"/>
        </w:rPr>
        <w:t>të monitoronin burgjet dhe mjediset e paraburgimit</w:t>
      </w:r>
      <w:r w:rsidR="00145880" w:rsidRPr="006B700E">
        <w:rPr>
          <w:sz w:val="24"/>
          <w:szCs w:val="24"/>
        </w:rPr>
        <w:t xml:space="preserve"> pa ndonjë pengesë. Kufizime pati për monitorimin e të burgosurve </w:t>
      </w:r>
      <w:r w:rsidR="00C5019D" w:rsidRPr="006B700E">
        <w:rPr>
          <w:sz w:val="24"/>
          <w:szCs w:val="24"/>
        </w:rPr>
        <w:t>t</w:t>
      </w:r>
      <w:r w:rsidR="00145880" w:rsidRPr="006B700E">
        <w:rPr>
          <w:sz w:val="24"/>
          <w:szCs w:val="24"/>
        </w:rPr>
        <w:t xml:space="preserve">ë regjistruar në regjimin e veçantë.  </w:t>
      </w:r>
      <w:r w:rsidRPr="006B700E">
        <w:rPr>
          <w:sz w:val="24"/>
          <w:szCs w:val="24"/>
        </w:rPr>
        <w:t xml:space="preserve"> </w:t>
      </w:r>
    </w:p>
    <w:p w14:paraId="5172CCBB" w14:textId="6AD6111E" w:rsidR="00145880" w:rsidRPr="006B700E" w:rsidRDefault="00145880" w:rsidP="009E1169">
      <w:pPr>
        <w:rPr>
          <w:sz w:val="24"/>
          <w:szCs w:val="24"/>
        </w:rPr>
      </w:pPr>
      <w:r w:rsidRPr="006B700E">
        <w:rPr>
          <w:b/>
          <w:bCs/>
          <w:sz w:val="24"/>
          <w:szCs w:val="24"/>
        </w:rPr>
        <w:t>Përmirësimet</w:t>
      </w:r>
      <w:r w:rsidR="009E1169" w:rsidRPr="006B700E">
        <w:rPr>
          <w:b/>
          <w:bCs/>
          <w:sz w:val="24"/>
          <w:szCs w:val="24"/>
        </w:rPr>
        <w:t>:</w:t>
      </w:r>
      <w:r w:rsidRPr="006B700E">
        <w:rPr>
          <w:sz w:val="24"/>
          <w:szCs w:val="24"/>
        </w:rPr>
        <w:t xml:space="preserve"> Qeveria ndërmori hapa gjatë vitit për të përmirësuar kushtet në burgje dhe qendra paraburgimi. Në fund të vitit 2021, DPB-ja nisi zbatimin e një projekti të financuar nga Organizata për Sigurinë dhe Bashkëpunimin në Europë </w:t>
      </w:r>
      <w:r w:rsidR="009E1169" w:rsidRPr="006B700E">
        <w:rPr>
          <w:sz w:val="24"/>
          <w:szCs w:val="24"/>
        </w:rPr>
        <w:t>(OS</w:t>
      </w:r>
      <w:r w:rsidRPr="006B700E">
        <w:rPr>
          <w:sz w:val="24"/>
          <w:szCs w:val="24"/>
        </w:rPr>
        <w:t>B</w:t>
      </w:r>
      <w:r w:rsidR="009E1169" w:rsidRPr="006B700E">
        <w:rPr>
          <w:sz w:val="24"/>
          <w:szCs w:val="24"/>
        </w:rPr>
        <w:t>E)</w:t>
      </w:r>
      <w:r w:rsidRPr="006B700E">
        <w:rPr>
          <w:sz w:val="24"/>
          <w:szCs w:val="24"/>
        </w:rPr>
        <w:t xml:space="preserve"> për të ndaluar dhe luftuar ekstremizmin e dhunshëm në burgje dhe në shërbimin e provës. DPB-ja dhe KS</w:t>
      </w:r>
      <w:r w:rsidR="00C5019D" w:rsidRPr="006B700E">
        <w:rPr>
          <w:sz w:val="24"/>
          <w:szCs w:val="24"/>
        </w:rPr>
        <w:t>H</w:t>
      </w:r>
      <w:r w:rsidRPr="006B700E">
        <w:rPr>
          <w:sz w:val="24"/>
          <w:szCs w:val="24"/>
        </w:rPr>
        <w:t xml:space="preserve">H-ja </w:t>
      </w:r>
      <w:r w:rsidR="00630086" w:rsidRPr="006B700E">
        <w:rPr>
          <w:sz w:val="24"/>
          <w:szCs w:val="24"/>
        </w:rPr>
        <w:t>u shprehën</w:t>
      </w:r>
      <w:r w:rsidRPr="006B700E">
        <w:rPr>
          <w:sz w:val="24"/>
          <w:szCs w:val="24"/>
        </w:rPr>
        <w:t xml:space="preserve"> se</w:t>
      </w:r>
      <w:r w:rsidR="00630086" w:rsidRPr="006B700E">
        <w:rPr>
          <w:sz w:val="24"/>
          <w:szCs w:val="24"/>
        </w:rPr>
        <w:t xml:space="preserve"> mbipopullimi i burgjeve u ul për shkak të disa rikonstruksioneve në burgje dhe </w:t>
      </w:r>
      <w:r w:rsidR="00630086" w:rsidRPr="006B700E">
        <w:rPr>
          <w:sz w:val="24"/>
          <w:szCs w:val="24"/>
        </w:rPr>
        <w:lastRenderedPageBreak/>
        <w:t xml:space="preserve">rishpërndarjes së të burgosurve në sistem. Megjithatë, disa mjedise penitenciare qenë ende të mbipopulluara, veçanërisht ato të ndalimit në pritje të gjykimit.   </w:t>
      </w:r>
      <w:r w:rsidRPr="006B700E">
        <w:rPr>
          <w:sz w:val="24"/>
          <w:szCs w:val="24"/>
        </w:rPr>
        <w:t xml:space="preserve"> </w:t>
      </w:r>
    </w:p>
    <w:p w14:paraId="48F2B0E8" w14:textId="2423E3F6" w:rsidR="009E1169" w:rsidRPr="006B700E" w:rsidRDefault="00630086" w:rsidP="00630086">
      <w:pPr>
        <w:rPr>
          <w:sz w:val="24"/>
          <w:szCs w:val="24"/>
        </w:rPr>
      </w:pPr>
      <w:r w:rsidRPr="006B700E">
        <w:rPr>
          <w:sz w:val="24"/>
          <w:szCs w:val="24"/>
        </w:rPr>
        <w:t>Drejtoria e Përgjithshme e Policisë së Shtetit raportoi se qeveria financoi dhe përfundoi ndërtimin e një “blloku sigurie” të ri për Drejtorinë e P</w:t>
      </w:r>
      <w:r w:rsidR="00C5019D" w:rsidRPr="006B700E">
        <w:rPr>
          <w:sz w:val="24"/>
          <w:szCs w:val="24"/>
        </w:rPr>
        <w:t>o</w:t>
      </w:r>
      <w:r w:rsidRPr="006B700E">
        <w:rPr>
          <w:sz w:val="24"/>
          <w:szCs w:val="24"/>
        </w:rPr>
        <w:t>licisë së Tiran</w:t>
      </w:r>
      <w:r w:rsidR="00C5019D" w:rsidRPr="006B700E">
        <w:rPr>
          <w:sz w:val="24"/>
          <w:szCs w:val="24"/>
        </w:rPr>
        <w:t>ë</w:t>
      </w:r>
      <w:r w:rsidRPr="006B700E">
        <w:rPr>
          <w:sz w:val="24"/>
          <w:szCs w:val="24"/>
        </w:rPr>
        <w:t xml:space="preserve">s me kapacitet prej </w:t>
      </w:r>
      <w:r w:rsidR="009E1169" w:rsidRPr="006B700E">
        <w:rPr>
          <w:sz w:val="24"/>
          <w:szCs w:val="24"/>
        </w:rPr>
        <w:t xml:space="preserve">66 </w:t>
      </w:r>
      <w:r w:rsidRPr="006B700E">
        <w:rPr>
          <w:sz w:val="24"/>
          <w:szCs w:val="24"/>
        </w:rPr>
        <w:t>shtretërish</w:t>
      </w:r>
      <w:r w:rsidR="009E1169" w:rsidRPr="006B700E">
        <w:rPr>
          <w:sz w:val="24"/>
          <w:szCs w:val="24"/>
        </w:rPr>
        <w:t xml:space="preserve">. </w:t>
      </w:r>
      <w:r w:rsidRPr="006B700E">
        <w:rPr>
          <w:sz w:val="24"/>
          <w:szCs w:val="24"/>
        </w:rPr>
        <w:t xml:space="preserve">Rinovimi vazhdoi në Komisariatin e Policisë në Dibër. </w:t>
      </w:r>
    </w:p>
    <w:p w14:paraId="1EE9D02E" w14:textId="77777777" w:rsidR="00D63E5A" w:rsidRPr="006B700E" w:rsidRDefault="00D63E5A" w:rsidP="00D63E5A">
      <w:pPr>
        <w:jc w:val="both"/>
        <w:rPr>
          <w:b/>
        </w:rPr>
      </w:pPr>
      <w:r w:rsidRPr="006B700E">
        <w:rPr>
          <w:b/>
        </w:rPr>
        <w:t xml:space="preserve">d. Arrestimi ose ndalimi në mënyrë arbitrare  </w:t>
      </w:r>
    </w:p>
    <w:p w14:paraId="22A494B6" w14:textId="0AE42D53" w:rsidR="00D63E5A" w:rsidRPr="006B700E" w:rsidRDefault="00D63E5A" w:rsidP="00D63E5A">
      <w:pPr>
        <w:rPr>
          <w:sz w:val="24"/>
          <w:szCs w:val="24"/>
        </w:rPr>
      </w:pPr>
      <w:r w:rsidRPr="006B700E">
        <w:rPr>
          <w:sz w:val="24"/>
          <w:szCs w:val="24"/>
        </w:rPr>
        <w:t>Ligji dhe kushtetuta ndalojnë arrestimin dhe ndalimin në mënyrë arbitrare dhe garantojnë të drejtën e çdo njeriu të provojë në gjykatë ligjshmërinë e arrestimit ose ndalimit të tij ose të saj. Qeveria në përgjithësi i zbatoi këto ndalime të ligjit dhe të kushtetutës.</w:t>
      </w:r>
    </w:p>
    <w:p w14:paraId="11FA4958" w14:textId="77777777" w:rsidR="00993AD1" w:rsidRPr="006B700E" w:rsidRDefault="00993AD1" w:rsidP="00993AD1">
      <w:pPr>
        <w:jc w:val="both"/>
        <w:rPr>
          <w:b/>
          <w:sz w:val="24"/>
          <w:szCs w:val="24"/>
        </w:rPr>
      </w:pPr>
      <w:r w:rsidRPr="006B700E">
        <w:rPr>
          <w:b/>
          <w:sz w:val="24"/>
          <w:szCs w:val="24"/>
        </w:rPr>
        <w:t xml:space="preserve">Procedurat e arrestimit dhe trajtimi i të ndaluarve </w:t>
      </w:r>
    </w:p>
    <w:p w14:paraId="4B2EC4E0" w14:textId="65E265D9" w:rsidR="00BE2A51" w:rsidRPr="006B700E" w:rsidRDefault="00993AD1" w:rsidP="00993AD1">
      <w:pPr>
        <w:jc w:val="both"/>
        <w:rPr>
          <w:sz w:val="24"/>
          <w:szCs w:val="24"/>
        </w:rPr>
      </w:pPr>
      <w:r w:rsidRPr="006B700E">
        <w:rPr>
          <w:sz w:val="24"/>
          <w:szCs w:val="24"/>
        </w:rPr>
        <w:t xml:space="preserve">Ligji parashikon </w:t>
      </w:r>
      <w:r w:rsidR="00BE2A51" w:rsidRPr="006B700E">
        <w:rPr>
          <w:sz w:val="24"/>
          <w:szCs w:val="24"/>
        </w:rPr>
        <w:t>dy procedura për arrestimin. E para, prokurori mund të kërkoje urdhër arrest nga gjykata pasi të ketë dhënë justifikim të mjaftueshëm dhe të jetë përcaktuar masa e sigurimit. Gjykata automatikisht rishikon masën e sigurimit rregullisht. E dyta, policia mund të arrestojë një të dyshuar i cili është duke kryer krim. Ligji parashikon që policia të njoftojë menjëherë një prokuror në lidhje me arrestimin. Prokurori mund ta lirojë të dyshuarin ose t’i bëjë kërkesë gjykatës brenda 48 orësh për ta mbajtur personin më gjatë të ndaluar. Gjykata gjithashtu duhet të marrë vendim brenda 48 orësh</w:t>
      </w:r>
      <w:r w:rsidR="00C02E48" w:rsidRPr="006B700E">
        <w:rPr>
          <w:sz w:val="24"/>
          <w:szCs w:val="24"/>
        </w:rPr>
        <w:t xml:space="preserve"> nëse do ta vendosë të dyshuarin në paraburgim, do të kërkojë dorëzani, do të ndalojë udhëtimet apo do të kërkojë që i pandehuri të paraqitet rregullisht në polici. Këto të drejta u respektuan dhe nuk pati raportime për arrestime të fshehta.  </w:t>
      </w:r>
      <w:r w:rsidR="00BE2A51" w:rsidRPr="006B700E">
        <w:rPr>
          <w:sz w:val="24"/>
          <w:szCs w:val="24"/>
        </w:rPr>
        <w:t xml:space="preserve">       </w:t>
      </w:r>
    </w:p>
    <w:p w14:paraId="29CAB448" w14:textId="1782EAE8" w:rsidR="007D4D9E" w:rsidRPr="006B700E" w:rsidRDefault="007D4D9E" w:rsidP="007D4D9E">
      <w:pPr>
        <w:jc w:val="both"/>
        <w:rPr>
          <w:sz w:val="24"/>
          <w:szCs w:val="24"/>
        </w:rPr>
      </w:pPr>
      <w:r w:rsidRPr="006B700E">
        <w:rPr>
          <w:sz w:val="24"/>
          <w:szCs w:val="24"/>
        </w:rPr>
        <w:t>Sipas ligjit dhe me kërkesë të një prokurori, gjykata ka në dispozicion 72 orë për të rishikuar statusin e ndalimit në pritje të gjykimit të një arrestimi të urdhëruar nga gjykata. Policia mund të ndalojë, por jo të arrestojë formalisht, një të dyshuar për një periudhë jo më shumë se 10 orë. Avokati i popullit dhe KS</w:t>
      </w:r>
      <w:r w:rsidR="00C5019D" w:rsidRPr="006B700E">
        <w:rPr>
          <w:sz w:val="24"/>
          <w:szCs w:val="24"/>
        </w:rPr>
        <w:t>H</w:t>
      </w:r>
      <w:r w:rsidRPr="006B700E">
        <w:rPr>
          <w:sz w:val="24"/>
          <w:szCs w:val="24"/>
        </w:rPr>
        <w:t xml:space="preserve">H-ja raportuan disa parregullsi procedurale në mbajtjen në paraburgim të individëve për më shumë se 10 orë. </w:t>
      </w:r>
    </w:p>
    <w:p w14:paraId="3274E3AC" w14:textId="77777777" w:rsidR="007D4D9E" w:rsidRPr="006B700E" w:rsidRDefault="007D4D9E" w:rsidP="009E1169">
      <w:pPr>
        <w:rPr>
          <w:sz w:val="24"/>
          <w:szCs w:val="24"/>
        </w:rPr>
      </w:pPr>
      <w:r w:rsidRPr="006B700E">
        <w:rPr>
          <w:sz w:val="24"/>
          <w:szCs w:val="24"/>
        </w:rPr>
        <w:t xml:space="preserve">Kushtetuta u kërkon autoriteteve që të informojnë personat e ndaluar menjëherë mbi të drejtat dhe akuzat e ngritura ndaj tyre. Ligji parashikon dorëzaninë dhe ekzistonte një sistem funksional për të; policia shpesh i lironte të ndaluarit pa dorëzani, me kusht që ata të paraqiteshin rregullisht në rajonin e policisë. Gjykatat shpesh urdhëruan të dyshuarit të paraqiteshin në polici ose prokurori një herë në javë. Ndonëse ligji u jep të ndaluarve të drejtën për të marrë menjëherë </w:t>
      </w:r>
      <w:r w:rsidRPr="006B700E">
        <w:rPr>
          <w:sz w:val="24"/>
          <w:szCs w:val="24"/>
        </w:rPr>
        <w:lastRenderedPageBreak/>
        <w:t xml:space="preserve">avokat, me shpenzimet e shtetit, avokati i popullit raportoi raste marrjesh në pyetje pa praninë e një avokati. </w:t>
      </w:r>
    </w:p>
    <w:p w14:paraId="2AEBA5F1" w14:textId="0D1FFEF9" w:rsidR="009E1169" w:rsidRPr="006B700E" w:rsidRDefault="007D4D9E" w:rsidP="009E1169">
      <w:pPr>
        <w:rPr>
          <w:sz w:val="24"/>
          <w:szCs w:val="24"/>
        </w:rPr>
      </w:pPr>
      <w:r w:rsidRPr="006B700E">
        <w:rPr>
          <w:b/>
          <w:sz w:val="24"/>
          <w:szCs w:val="24"/>
        </w:rPr>
        <w:t>Arrestimi në mënyrë arbitrare:</w:t>
      </w:r>
      <w:r w:rsidRPr="006B700E">
        <w:rPr>
          <w:sz w:val="24"/>
          <w:szCs w:val="24"/>
        </w:rPr>
        <w:t xml:space="preserve"> Kushtetuta dhe ligji ndalojnë arrestimin dhe ndalimin në mënyrë arbitrare. Qeveria përgjithësisht i respektoi këto detyrime.</w:t>
      </w:r>
    </w:p>
    <w:p w14:paraId="4DDED62B" w14:textId="5575A50C" w:rsidR="00BD60AF" w:rsidRPr="006B700E" w:rsidRDefault="007D4D9E" w:rsidP="007D4D9E">
      <w:pPr>
        <w:spacing w:after="0"/>
        <w:jc w:val="both"/>
        <w:rPr>
          <w:sz w:val="24"/>
          <w:szCs w:val="24"/>
        </w:rPr>
      </w:pPr>
      <w:r w:rsidRPr="006B700E">
        <w:rPr>
          <w:b/>
          <w:sz w:val="24"/>
          <w:szCs w:val="24"/>
        </w:rPr>
        <w:t>Ndalimi në pritje të gjykimit:</w:t>
      </w:r>
      <w:r w:rsidRPr="006B700E">
        <w:rPr>
          <w:sz w:val="24"/>
          <w:szCs w:val="24"/>
        </w:rPr>
        <w:t xml:space="preserve"> Ndonëse ligji kërkon përfundimin e shumicës së hetimeve brenda tre muajve, prokurori mund ta zgjasë këtë periudhë. Ligji parashikon që paraburgimi në pritje të gjykimit të mos i kalojë tre vjet. </w:t>
      </w:r>
      <w:r w:rsidR="00BD60AF" w:rsidRPr="006B700E">
        <w:rPr>
          <w:sz w:val="24"/>
          <w:szCs w:val="24"/>
        </w:rPr>
        <w:t xml:space="preserve">Avokati i Popullit dhe organizatat joqeveritare (OJQ) vijuan të raportonin se një përqindje e lartë e të burgosurve mbetën në paraburgim. Procedimet penale në përgjithësi kishin vonesa nga mungesa e gjyqtarëve dhe prokurorëve. </w:t>
      </w:r>
      <w:r w:rsidRPr="006B700E">
        <w:rPr>
          <w:sz w:val="24"/>
          <w:szCs w:val="24"/>
        </w:rPr>
        <w:t xml:space="preserve">Burimet e kufizuara materiale, mungesa e hapësirës, </w:t>
      </w:r>
      <w:r w:rsidR="00BD60AF" w:rsidRPr="006B700E">
        <w:rPr>
          <w:sz w:val="24"/>
          <w:szCs w:val="24"/>
        </w:rPr>
        <w:t>keq</w:t>
      </w:r>
      <w:r w:rsidRPr="006B700E">
        <w:rPr>
          <w:sz w:val="24"/>
          <w:szCs w:val="24"/>
        </w:rPr>
        <w:t xml:space="preserve">administrimi i kalendarit të gjykatave, stafi i pamjaftueshëm dhe mosparaqitja e avokatëve dhe dëshmitarëve u bënë pengesë që sistemi i gjykatave të gjykonte çështjet brenda afatit kohor. </w:t>
      </w:r>
      <w:r w:rsidR="00BD60AF" w:rsidRPr="006B700E">
        <w:rPr>
          <w:sz w:val="24"/>
          <w:szCs w:val="24"/>
        </w:rPr>
        <w:t xml:space="preserve">DPB-ja raportoi se deri në muajin nëntor, numri i të ndaluarve në pritje të gjykimit përbënte 52 për qind të gjithë popullatës së burgjeve.    </w:t>
      </w:r>
    </w:p>
    <w:p w14:paraId="7A460E4A" w14:textId="77777777" w:rsidR="00BD60AF" w:rsidRPr="006B700E" w:rsidRDefault="00BD60AF" w:rsidP="00BD60AF">
      <w:pPr>
        <w:jc w:val="both"/>
        <w:rPr>
          <w:b/>
        </w:rPr>
      </w:pPr>
      <w:r w:rsidRPr="006B700E">
        <w:rPr>
          <w:b/>
        </w:rPr>
        <w:t xml:space="preserve">e. Mohimi i gjykimit të drejtë publik </w:t>
      </w:r>
    </w:p>
    <w:p w14:paraId="48D7A0CC" w14:textId="522DC5DB" w:rsidR="009E1169" w:rsidRPr="006B700E" w:rsidRDefault="00BD60AF" w:rsidP="009E1169">
      <w:pPr>
        <w:rPr>
          <w:sz w:val="24"/>
          <w:szCs w:val="24"/>
        </w:rPr>
      </w:pPr>
      <w:r w:rsidRPr="006B700E">
        <w:rPr>
          <w:sz w:val="24"/>
          <w:szCs w:val="24"/>
        </w:rPr>
        <w:t>Megjithëse kushtetuta parashikon pushtet gjyqësor të pavarur, pres</w:t>
      </w:r>
      <w:r w:rsidR="00CB2FA4" w:rsidRPr="006B700E">
        <w:rPr>
          <w:sz w:val="24"/>
          <w:szCs w:val="24"/>
        </w:rPr>
        <w:t>i</w:t>
      </w:r>
      <w:r w:rsidRPr="006B700E">
        <w:rPr>
          <w:sz w:val="24"/>
          <w:szCs w:val="24"/>
        </w:rPr>
        <w:t xml:space="preserve">oni politik, kanosja, korrupsioni dhe burimet e kufizuara penguan gjyqësorin të funksiononte plotësisht, në mënyrë të pavarur dhe të efektshme. </w:t>
      </w:r>
      <w:r w:rsidR="00903F28" w:rsidRPr="006B700E">
        <w:rPr>
          <w:sz w:val="24"/>
          <w:szCs w:val="24"/>
        </w:rPr>
        <w:t xml:space="preserve">Në muajin maj, Këshilli i Lartë Gjyqësor hoqi të gjitha kufizimet e </w:t>
      </w:r>
      <w:r w:rsidR="009E1169" w:rsidRPr="006B700E">
        <w:rPr>
          <w:sz w:val="24"/>
          <w:szCs w:val="24"/>
        </w:rPr>
        <w:t>COVID-19</w:t>
      </w:r>
      <w:r w:rsidR="00903F28" w:rsidRPr="006B700E">
        <w:rPr>
          <w:sz w:val="24"/>
          <w:szCs w:val="24"/>
        </w:rPr>
        <w:t>, duke lejuar kështu gazetarët dhe publikun të hynin në mjediset e gjykatave për të ndjekur seancat gjyqësore</w:t>
      </w:r>
      <w:r w:rsidR="009E1169" w:rsidRPr="006B700E">
        <w:rPr>
          <w:sz w:val="24"/>
          <w:szCs w:val="24"/>
        </w:rPr>
        <w:t>.</w:t>
      </w:r>
    </w:p>
    <w:p w14:paraId="1340850F" w14:textId="115E39B9" w:rsidR="009E1169" w:rsidRPr="006B700E" w:rsidRDefault="00903F28" w:rsidP="00CD25E4">
      <w:pPr>
        <w:rPr>
          <w:sz w:val="24"/>
          <w:szCs w:val="24"/>
        </w:rPr>
      </w:pPr>
      <w:bookmarkStart w:id="0" w:name="_Hlk23319152"/>
      <w:r w:rsidRPr="006B700E">
        <w:rPr>
          <w:sz w:val="24"/>
          <w:szCs w:val="24"/>
        </w:rPr>
        <w:t xml:space="preserve">Qeveria vijoi me zbatimin e një procesi të monitoruar nga ndërkombëtarët për vetingun e gjyqtarëve dhe prokurorëve dhe për të </w:t>
      </w:r>
      <w:r w:rsidR="00CD25E4" w:rsidRPr="006B700E">
        <w:rPr>
          <w:sz w:val="24"/>
          <w:szCs w:val="24"/>
        </w:rPr>
        <w:t>shkarkuar</w:t>
      </w:r>
      <w:r w:rsidRPr="006B700E">
        <w:rPr>
          <w:sz w:val="24"/>
          <w:szCs w:val="24"/>
        </w:rPr>
        <w:t xml:space="preserve"> ata që kishin pasuri të pa</w:t>
      </w:r>
      <w:r w:rsidR="00CD25E4" w:rsidRPr="006B700E">
        <w:rPr>
          <w:sz w:val="24"/>
          <w:szCs w:val="24"/>
        </w:rPr>
        <w:t>shpjegueshme</w:t>
      </w:r>
      <w:r w:rsidRPr="006B700E">
        <w:rPr>
          <w:sz w:val="24"/>
          <w:szCs w:val="24"/>
        </w:rPr>
        <w:t xml:space="preserve"> ose lidhje me krimin e organizuar. Sipas institucioneve të vetingut, nga</w:t>
      </w:r>
      <w:r w:rsidR="009E1169" w:rsidRPr="006B700E">
        <w:rPr>
          <w:sz w:val="24"/>
          <w:szCs w:val="24"/>
        </w:rPr>
        <w:t xml:space="preserve"> 556 </w:t>
      </w:r>
      <w:r w:rsidRPr="006B700E">
        <w:rPr>
          <w:sz w:val="24"/>
          <w:szCs w:val="24"/>
        </w:rPr>
        <w:t>gjyqtarët</w:t>
      </w:r>
      <w:r w:rsidR="009E1169" w:rsidRPr="006B700E">
        <w:rPr>
          <w:sz w:val="24"/>
          <w:szCs w:val="24"/>
        </w:rPr>
        <w:t>, pro</w:t>
      </w:r>
      <w:r w:rsidRPr="006B700E">
        <w:rPr>
          <w:sz w:val="24"/>
          <w:szCs w:val="24"/>
        </w:rPr>
        <w:t xml:space="preserve">kurorët dhe zyrtarë të tjerë që </w:t>
      </w:r>
      <w:r w:rsidR="00CD25E4" w:rsidRPr="006B700E">
        <w:rPr>
          <w:sz w:val="24"/>
          <w:szCs w:val="24"/>
        </w:rPr>
        <w:t>u kontrolluan</w:t>
      </w:r>
      <w:r w:rsidRPr="006B700E">
        <w:rPr>
          <w:sz w:val="24"/>
          <w:szCs w:val="24"/>
        </w:rPr>
        <w:t xml:space="preserve"> nga organizmat e vetingut që nga viti </w:t>
      </w:r>
      <w:r w:rsidR="009E1169" w:rsidRPr="006B700E">
        <w:rPr>
          <w:sz w:val="24"/>
          <w:szCs w:val="24"/>
        </w:rPr>
        <w:t xml:space="preserve">2016, 37 </w:t>
      </w:r>
      <w:r w:rsidRPr="006B700E">
        <w:rPr>
          <w:sz w:val="24"/>
          <w:szCs w:val="24"/>
        </w:rPr>
        <w:t>për qind kaluan</w:t>
      </w:r>
      <w:r w:rsidR="009E1169" w:rsidRPr="006B700E">
        <w:rPr>
          <w:sz w:val="24"/>
          <w:szCs w:val="24"/>
        </w:rPr>
        <w:t xml:space="preserve">; 43 </w:t>
      </w:r>
      <w:r w:rsidRPr="006B700E">
        <w:rPr>
          <w:sz w:val="24"/>
          <w:szCs w:val="24"/>
        </w:rPr>
        <w:t xml:space="preserve">për qind u </w:t>
      </w:r>
      <w:r w:rsidR="00CD25E4" w:rsidRPr="006B700E">
        <w:rPr>
          <w:sz w:val="24"/>
          <w:szCs w:val="24"/>
        </w:rPr>
        <w:t>shkarkuan</w:t>
      </w:r>
      <w:r w:rsidR="009E1169" w:rsidRPr="006B700E">
        <w:rPr>
          <w:sz w:val="24"/>
          <w:szCs w:val="24"/>
        </w:rPr>
        <w:t xml:space="preserve">; </w:t>
      </w:r>
      <w:r w:rsidRPr="006B700E">
        <w:rPr>
          <w:sz w:val="24"/>
          <w:szCs w:val="24"/>
        </w:rPr>
        <w:t xml:space="preserve">dhe </w:t>
      </w:r>
      <w:r w:rsidR="009E1169" w:rsidRPr="006B700E">
        <w:rPr>
          <w:sz w:val="24"/>
          <w:szCs w:val="24"/>
        </w:rPr>
        <w:t xml:space="preserve">18 </w:t>
      </w:r>
      <w:r w:rsidRPr="006B700E">
        <w:rPr>
          <w:sz w:val="24"/>
          <w:szCs w:val="24"/>
        </w:rPr>
        <w:t xml:space="preserve">për qind </w:t>
      </w:r>
      <w:r w:rsidR="003F25C2" w:rsidRPr="006B700E">
        <w:rPr>
          <w:sz w:val="24"/>
          <w:szCs w:val="24"/>
        </w:rPr>
        <w:t xml:space="preserve">dhanë dorëheqjen ose dolën në pension. </w:t>
      </w:r>
      <w:r w:rsidR="00CD25E4" w:rsidRPr="006B700E">
        <w:rPr>
          <w:sz w:val="24"/>
          <w:szCs w:val="24"/>
        </w:rPr>
        <w:t>Deri në fund të vitit</w:t>
      </w:r>
      <w:r w:rsidR="007B2762" w:rsidRPr="006B700E">
        <w:rPr>
          <w:sz w:val="24"/>
          <w:szCs w:val="24"/>
        </w:rPr>
        <w:t>,</w:t>
      </w:r>
      <w:r w:rsidR="00CD25E4" w:rsidRPr="006B700E">
        <w:rPr>
          <w:sz w:val="24"/>
          <w:szCs w:val="24"/>
        </w:rPr>
        <w:t xml:space="preserve"> numri i gjyqtarëve të Gjykatës së Lartë të kontrolluar </w:t>
      </w:r>
      <w:r w:rsidR="007B2762" w:rsidRPr="006B700E">
        <w:rPr>
          <w:sz w:val="24"/>
          <w:szCs w:val="24"/>
        </w:rPr>
        <w:t xml:space="preserve">nga vetingu </w:t>
      </w:r>
      <w:r w:rsidR="00CD25E4" w:rsidRPr="006B700E">
        <w:rPr>
          <w:sz w:val="24"/>
          <w:szCs w:val="24"/>
        </w:rPr>
        <w:t xml:space="preserve">u rrit në </w:t>
      </w:r>
      <w:r w:rsidR="009E1169" w:rsidRPr="006B700E">
        <w:rPr>
          <w:sz w:val="24"/>
          <w:szCs w:val="24"/>
        </w:rPr>
        <w:t xml:space="preserve">15 </w:t>
      </w:r>
      <w:r w:rsidR="00CD25E4" w:rsidRPr="006B700E">
        <w:rPr>
          <w:sz w:val="24"/>
          <w:szCs w:val="24"/>
        </w:rPr>
        <w:t xml:space="preserve">nga </w:t>
      </w:r>
      <w:r w:rsidR="009E1169" w:rsidRPr="006B700E">
        <w:rPr>
          <w:sz w:val="24"/>
          <w:szCs w:val="24"/>
        </w:rPr>
        <w:t xml:space="preserve">19 </w:t>
      </w:r>
      <w:r w:rsidR="00CD25E4" w:rsidRPr="006B700E">
        <w:rPr>
          <w:sz w:val="24"/>
          <w:szCs w:val="24"/>
        </w:rPr>
        <w:t xml:space="preserve">vendet që ka gjykata. Emërimet e gjyqtarëve të kontrolluar ishin të mjaftueshme për të mundësuar Gjykatën e Lartë të kryente të gjitha funksionet. Deri në muajin qershor, Gjykata e Lartë pati 30786 çështje të prapambetura që prisnin të gjykoheshin. </w:t>
      </w:r>
    </w:p>
    <w:bookmarkEnd w:id="0"/>
    <w:p w14:paraId="2D3D5DDA" w14:textId="344C3B2B" w:rsidR="009E1169" w:rsidRPr="006B700E" w:rsidRDefault="007B2762" w:rsidP="009E1169">
      <w:pPr>
        <w:rPr>
          <w:rFonts w:eastAsia="MS Mincho"/>
          <w:b/>
          <w:bCs/>
          <w:sz w:val="24"/>
          <w:szCs w:val="24"/>
        </w:rPr>
      </w:pPr>
      <w:r w:rsidRPr="006B700E">
        <w:rPr>
          <w:rFonts w:eastAsia="MS Mincho"/>
          <w:sz w:val="24"/>
          <w:szCs w:val="24"/>
        </w:rPr>
        <w:t xml:space="preserve">Nga janari deri në 20 shtator, Inspektorati i Lartë i Drejtësisë (ILD) në vend mori </w:t>
      </w:r>
      <w:r w:rsidR="009E1169" w:rsidRPr="006B700E">
        <w:rPr>
          <w:rFonts w:eastAsia="MS Mincho"/>
          <w:sz w:val="24"/>
          <w:szCs w:val="24"/>
        </w:rPr>
        <w:t xml:space="preserve">580 </w:t>
      </w:r>
      <w:r w:rsidRPr="006B700E">
        <w:rPr>
          <w:rFonts w:eastAsia="MS Mincho"/>
          <w:sz w:val="24"/>
          <w:szCs w:val="24"/>
        </w:rPr>
        <w:t xml:space="preserve">ankesa të reja, nga të cilat </w:t>
      </w:r>
      <w:r w:rsidR="009E1169" w:rsidRPr="006B700E">
        <w:rPr>
          <w:rFonts w:eastAsia="MS Mincho"/>
          <w:sz w:val="24"/>
          <w:szCs w:val="24"/>
        </w:rPr>
        <w:t>95 p</w:t>
      </w:r>
      <w:r w:rsidRPr="006B700E">
        <w:rPr>
          <w:rFonts w:eastAsia="MS Mincho"/>
          <w:sz w:val="24"/>
          <w:szCs w:val="24"/>
        </w:rPr>
        <w:t xml:space="preserve">ër qind ishin dorëzuar nga qytetarët. ILD-ja administroi 19 hetime </w:t>
      </w:r>
      <w:r w:rsidRPr="006B700E">
        <w:rPr>
          <w:rFonts w:eastAsia="MS Mincho"/>
          <w:sz w:val="24"/>
          <w:szCs w:val="24"/>
        </w:rPr>
        <w:lastRenderedPageBreak/>
        <w:t xml:space="preserve">disiplinore, gjashtë të ndërmarra nga ILD-ja dhe </w:t>
      </w:r>
      <w:r w:rsidR="009E1169" w:rsidRPr="006B700E">
        <w:rPr>
          <w:rFonts w:eastAsia="MS Mincho"/>
          <w:sz w:val="24"/>
          <w:szCs w:val="24"/>
        </w:rPr>
        <w:t xml:space="preserve">13 </w:t>
      </w:r>
      <w:r w:rsidRPr="006B700E">
        <w:rPr>
          <w:rFonts w:eastAsia="MS Mincho"/>
          <w:sz w:val="24"/>
          <w:szCs w:val="24"/>
        </w:rPr>
        <w:t xml:space="preserve">të bazuara në ankesa. ILD-ja dorëzoi edhe një kërkesë në Këshillin e Lartë të Drejtësisë për procedime disiplinore ndaj një gjyqtari. </w:t>
      </w:r>
    </w:p>
    <w:p w14:paraId="21CD125A" w14:textId="77777777" w:rsidR="00404624" w:rsidRPr="006B700E" w:rsidRDefault="00404624" w:rsidP="00404624">
      <w:pPr>
        <w:jc w:val="both"/>
        <w:rPr>
          <w:b/>
          <w:sz w:val="24"/>
          <w:szCs w:val="24"/>
        </w:rPr>
      </w:pPr>
      <w:r w:rsidRPr="006B700E">
        <w:rPr>
          <w:b/>
          <w:sz w:val="24"/>
          <w:szCs w:val="24"/>
        </w:rPr>
        <w:t xml:space="preserve">Procedurat gjyqësore  </w:t>
      </w:r>
    </w:p>
    <w:p w14:paraId="05301CCA" w14:textId="6270B44F" w:rsidR="00404624" w:rsidRPr="006B700E" w:rsidRDefault="00404624" w:rsidP="00404624">
      <w:pPr>
        <w:rPr>
          <w:sz w:val="24"/>
          <w:szCs w:val="24"/>
        </w:rPr>
      </w:pPr>
      <w:r w:rsidRPr="006B700E">
        <w:rPr>
          <w:sz w:val="24"/>
          <w:szCs w:val="24"/>
        </w:rPr>
        <w:t xml:space="preserve">Kushtetuta dhe ligji parashikojnë të drejtën për gjykim të drejtë dhe publik pa vonesa të paligjshme. Ligji i prezumon </w:t>
      </w:r>
      <w:r w:rsidR="00CB2FA4" w:rsidRPr="006B700E">
        <w:rPr>
          <w:sz w:val="24"/>
          <w:szCs w:val="24"/>
        </w:rPr>
        <w:t xml:space="preserve">të pafajshëm </w:t>
      </w:r>
      <w:r w:rsidRPr="006B700E">
        <w:rPr>
          <w:sz w:val="24"/>
          <w:szCs w:val="24"/>
        </w:rPr>
        <w:t xml:space="preserve">të pandehurit derisa të provohet fajësia dhe parashikon që të pandehurit të informohen menjëherë dhe me hollësi për akuzat e ngritura ndaj tyre, me përkthim falas nëse është e nevojshme. Të pandehurit kanë të drejtën të jenë të pranishëm në gjykim dhe të konsultohen me një avokat. Nëse nuk e përballojnë dot avokatin, u caktohet një avokat me shpenzimet e shtetit. Ligji u garanton të pandehurve kohë dhe mjedise të mjaftueshme për të përgatitur mbrojtjen, si edhe përkthim falas. Të pandehurit kanë të drejtën të përballen me dëshmitarët kundër tyre dhe të paraqesin dëshmitarë dhe prova në mbrojtje të </w:t>
      </w:r>
      <w:r w:rsidR="00B17CDB" w:rsidRPr="006B700E">
        <w:rPr>
          <w:sz w:val="24"/>
          <w:szCs w:val="24"/>
        </w:rPr>
        <w:t>vetes</w:t>
      </w:r>
      <w:r w:rsidRPr="006B700E">
        <w:rPr>
          <w:sz w:val="24"/>
          <w:szCs w:val="24"/>
        </w:rPr>
        <w:t xml:space="preserve">. Të pandehurit nuk mund të detyrohen të dëshmojnë ose të pranojnë fajësinë. Të pandehurit kanë të drejtën të apelojnë. Në përgjithësi qeveria i respektoi këto të drejta megjithëse gjykimet nuk ishin gjithnjë publike dhe gjetja e një avokati hera-herës ishte problematike. </w:t>
      </w:r>
      <w:r w:rsidR="00B17CDB" w:rsidRPr="006B700E">
        <w:rPr>
          <w:sz w:val="24"/>
          <w:szCs w:val="24"/>
        </w:rPr>
        <w:t xml:space="preserve">Ligji kërkon që prokurori </w:t>
      </w:r>
      <w:r w:rsidRPr="006B700E">
        <w:rPr>
          <w:sz w:val="24"/>
          <w:szCs w:val="24"/>
        </w:rPr>
        <w:t>ta dërgojë çështjen pranë një gjyqtari të seancës paraprake dhe të bëjë kërkesë për ta dërguar çështjen në gjykim.</w:t>
      </w:r>
    </w:p>
    <w:p w14:paraId="016D3D6D" w14:textId="77777777" w:rsidR="00FD5A81" w:rsidRPr="006B700E" w:rsidRDefault="00FD5A81" w:rsidP="00FD5A81">
      <w:pPr>
        <w:jc w:val="both"/>
        <w:rPr>
          <w:b/>
          <w:sz w:val="24"/>
          <w:szCs w:val="24"/>
        </w:rPr>
      </w:pPr>
      <w:r w:rsidRPr="006B700E">
        <w:rPr>
          <w:b/>
          <w:sz w:val="24"/>
          <w:szCs w:val="24"/>
        </w:rPr>
        <w:t xml:space="preserve">Të burgosurit dhe të ndaluarit politikë </w:t>
      </w:r>
    </w:p>
    <w:p w14:paraId="56DA2868" w14:textId="77777777" w:rsidR="00FD5A81" w:rsidRPr="006B700E" w:rsidRDefault="00FD5A81" w:rsidP="00FD5A81">
      <w:pPr>
        <w:jc w:val="both"/>
        <w:rPr>
          <w:sz w:val="24"/>
          <w:szCs w:val="24"/>
        </w:rPr>
      </w:pPr>
      <w:r w:rsidRPr="006B700E">
        <w:rPr>
          <w:sz w:val="24"/>
          <w:szCs w:val="24"/>
        </w:rPr>
        <w:t xml:space="preserve">Nuk pati raportime për të burgosur ose të ndaluar politikë. </w:t>
      </w:r>
    </w:p>
    <w:p w14:paraId="57BCABA7" w14:textId="77777777" w:rsidR="00FD5A81" w:rsidRPr="006B700E" w:rsidRDefault="00FD5A81" w:rsidP="00FD5A81">
      <w:pPr>
        <w:jc w:val="both"/>
        <w:rPr>
          <w:b/>
          <w:sz w:val="24"/>
          <w:szCs w:val="24"/>
        </w:rPr>
      </w:pPr>
      <w:r w:rsidRPr="006B700E">
        <w:rPr>
          <w:b/>
          <w:sz w:val="24"/>
          <w:szCs w:val="24"/>
        </w:rPr>
        <w:t xml:space="preserve">Procedurat gjyqësore civile dhe kompensimet  </w:t>
      </w:r>
    </w:p>
    <w:p w14:paraId="5288E088" w14:textId="58F10A26" w:rsidR="00123D4E" w:rsidRPr="006B700E" w:rsidRDefault="00FD5A81" w:rsidP="00FD5A81">
      <w:pPr>
        <w:rPr>
          <w:color w:val="000000"/>
          <w:sz w:val="24"/>
          <w:szCs w:val="24"/>
        </w:rPr>
      </w:pPr>
      <w:r w:rsidRPr="006B700E">
        <w:rPr>
          <w:sz w:val="24"/>
          <w:szCs w:val="24"/>
        </w:rPr>
        <w:t xml:space="preserve">Ndonëse individët dhe organizatat mund të kërkojnë kompensime civile për shkelje të të drejtave të njeriut, u raportuan raste korrupsioni në gjyqësor, </w:t>
      </w:r>
      <w:r w:rsidR="00CB2FA4" w:rsidRPr="006B700E">
        <w:rPr>
          <w:sz w:val="24"/>
          <w:szCs w:val="24"/>
        </w:rPr>
        <w:t>mos</w:t>
      </w:r>
      <w:r w:rsidRPr="006B700E">
        <w:rPr>
          <w:sz w:val="24"/>
          <w:szCs w:val="24"/>
        </w:rPr>
        <w:t>efektshmërie, kanosjeje dhe ndërhyrjesh politike. Gjykatat ndërmorën hapa për të trajtuar problemin duke përdorur pajisje për regjistrim audio. Në përgjithësi</w:t>
      </w:r>
      <w:r w:rsidR="00CB2FA4" w:rsidRPr="006B700E">
        <w:rPr>
          <w:sz w:val="24"/>
          <w:szCs w:val="24"/>
        </w:rPr>
        <w:t>,</w:t>
      </w:r>
      <w:r w:rsidRPr="006B700E">
        <w:rPr>
          <w:sz w:val="24"/>
          <w:szCs w:val="24"/>
        </w:rPr>
        <w:t xml:space="preserve"> qeveria veproi në përputhje me vendimet e gjykatave vendase </w:t>
      </w:r>
      <w:r w:rsidR="00123D4E" w:rsidRPr="006B700E">
        <w:rPr>
          <w:sz w:val="24"/>
          <w:szCs w:val="24"/>
        </w:rPr>
        <w:t>për sa i pë</w:t>
      </w:r>
      <w:r w:rsidR="00CB2FA4" w:rsidRPr="006B700E">
        <w:rPr>
          <w:sz w:val="24"/>
          <w:szCs w:val="24"/>
        </w:rPr>
        <w:t>r</w:t>
      </w:r>
      <w:r w:rsidR="00123D4E" w:rsidRPr="006B700E">
        <w:rPr>
          <w:sz w:val="24"/>
          <w:szCs w:val="24"/>
        </w:rPr>
        <w:t xml:space="preserve">ket të drejtave të njeriut. Zyra e Avokatit të Popullit dhe komisioneri për mbrojtjen nga diskriminimi ishin mjaftueshëm të pavarur për të siguruar kompensime për abuzimet me të drejtat e njeriut. </w:t>
      </w:r>
      <w:r w:rsidRPr="006B700E">
        <w:rPr>
          <w:sz w:val="24"/>
          <w:szCs w:val="24"/>
        </w:rPr>
        <w:t xml:space="preserve">Pavarësisht të drejtës me ligj për ndihmë ligjore falas për çështje civile, </w:t>
      </w:r>
      <w:r w:rsidR="00123D4E" w:rsidRPr="006B700E">
        <w:rPr>
          <w:sz w:val="24"/>
          <w:szCs w:val="24"/>
        </w:rPr>
        <w:t xml:space="preserve">sipas </w:t>
      </w:r>
      <w:r w:rsidRPr="006B700E">
        <w:rPr>
          <w:sz w:val="24"/>
          <w:szCs w:val="24"/>
        </w:rPr>
        <w:t>OJQ-</w:t>
      </w:r>
      <w:r w:rsidR="00123D4E" w:rsidRPr="006B700E">
        <w:rPr>
          <w:sz w:val="24"/>
          <w:szCs w:val="24"/>
        </w:rPr>
        <w:t>ve shumë</w:t>
      </w:r>
      <w:r w:rsidRPr="006B700E">
        <w:rPr>
          <w:sz w:val="24"/>
          <w:szCs w:val="24"/>
        </w:rPr>
        <w:t xml:space="preserve"> pak individë përfituan nga kjo ndihmë gjatë vitit. Për të trajtuar këtë problem, Ministria e Drejtësisë krijoi Drejtorinë e Ndihmës Juridike Falas, klinikat e ligjit në institucionet e arsimit të lartë, një platformë </w:t>
      </w:r>
      <w:r w:rsidRPr="006B700E">
        <w:rPr>
          <w:i/>
          <w:sz w:val="24"/>
          <w:szCs w:val="24"/>
        </w:rPr>
        <w:t xml:space="preserve">online </w:t>
      </w:r>
      <w:r w:rsidRPr="006B700E">
        <w:rPr>
          <w:sz w:val="24"/>
          <w:szCs w:val="24"/>
        </w:rPr>
        <w:t xml:space="preserve">gjatë pandemisë së </w:t>
      </w:r>
      <w:r w:rsidRPr="006B700E">
        <w:rPr>
          <w:color w:val="000000"/>
          <w:sz w:val="24"/>
          <w:szCs w:val="24"/>
        </w:rPr>
        <w:t xml:space="preserve">COVID-19, si edhe një linjë telefonike për të kërkuar ndihmë ligjore falas. </w:t>
      </w:r>
    </w:p>
    <w:p w14:paraId="5D353AB8" w14:textId="1A04EAC8" w:rsidR="009E1169" w:rsidRPr="006B700E" w:rsidRDefault="00123D4E" w:rsidP="00722771">
      <w:pPr>
        <w:jc w:val="both"/>
        <w:rPr>
          <w:sz w:val="24"/>
          <w:szCs w:val="24"/>
        </w:rPr>
      </w:pPr>
      <w:r w:rsidRPr="006B700E">
        <w:rPr>
          <w:sz w:val="24"/>
          <w:szCs w:val="24"/>
        </w:rPr>
        <w:lastRenderedPageBreak/>
        <w:t>Personat të cilët i kishin shfrytëzuar mundësitë për zgjidhje në gjykatat brenda vendit mund të apelonin në Gjykatën Europiane të të Drejtave të Njeriut (G</w:t>
      </w:r>
      <w:r w:rsidR="00722771" w:rsidRPr="006B700E">
        <w:rPr>
          <w:sz w:val="24"/>
          <w:szCs w:val="24"/>
        </w:rPr>
        <w:t>J</w:t>
      </w:r>
      <w:r w:rsidRPr="006B700E">
        <w:rPr>
          <w:sz w:val="24"/>
          <w:szCs w:val="24"/>
        </w:rPr>
        <w:t>EDN</w:t>
      </w:r>
      <w:r w:rsidR="00722771" w:rsidRPr="006B700E">
        <w:rPr>
          <w:sz w:val="24"/>
          <w:szCs w:val="24"/>
        </w:rPr>
        <w:t>J</w:t>
      </w:r>
      <w:r w:rsidRPr="006B700E">
        <w:rPr>
          <w:sz w:val="24"/>
          <w:szCs w:val="24"/>
        </w:rPr>
        <w:t>). Në shumë raste, autoritetet nuk i vunë në zbatim vendimet e GJEDNJ-së</w:t>
      </w:r>
      <w:r w:rsidR="00722771" w:rsidRPr="006B700E">
        <w:rPr>
          <w:sz w:val="24"/>
          <w:szCs w:val="24"/>
        </w:rPr>
        <w:t xml:space="preserve">, veçanërisht kur vendimi kërkonte kompensim. </w:t>
      </w:r>
      <w:r w:rsidRPr="006B700E">
        <w:rPr>
          <w:sz w:val="24"/>
          <w:szCs w:val="24"/>
        </w:rPr>
        <w:t xml:space="preserve">Zyra e Avokatit të Popullit </w:t>
      </w:r>
      <w:r w:rsidR="00722771" w:rsidRPr="006B700E">
        <w:rPr>
          <w:sz w:val="24"/>
          <w:szCs w:val="24"/>
        </w:rPr>
        <w:t xml:space="preserve">raportoi se avokati i shtetit nuk ia komunikoi si duhet vendimet e GJEDNJ-së zyrës së tyre. </w:t>
      </w:r>
    </w:p>
    <w:p w14:paraId="2C53BB55" w14:textId="66EC574E" w:rsidR="00722771" w:rsidRPr="006B700E" w:rsidRDefault="00722771" w:rsidP="00722771">
      <w:pPr>
        <w:spacing w:after="0"/>
        <w:jc w:val="both"/>
        <w:rPr>
          <w:sz w:val="24"/>
          <w:szCs w:val="24"/>
        </w:rPr>
      </w:pPr>
      <w:r w:rsidRPr="006B700E">
        <w:rPr>
          <w:sz w:val="24"/>
          <w:szCs w:val="24"/>
        </w:rPr>
        <w:t xml:space="preserve">Personat të cilët ishin të dënuar politikë nën regjimin e mëparshëm komunist vazhduan t’i kërkonin kompensim qeverisë. Qeveria nisi të shpërndante pagesat e kompensimit në tetor. IANS-i raportoi se nuk kishte të dhëna të konsoliduara në lidhje me shumën e përgjithshme që kishte paguar qeveria dhe atë që i mbetej ende për t’ua paguar të burgosurve politikë të diktaturës (1944-1991) që janë ende gjallë dhe trashëgimtarëve të tyre.    </w:t>
      </w:r>
    </w:p>
    <w:p w14:paraId="602973C2" w14:textId="77777777" w:rsidR="007F7D1D" w:rsidRPr="006B700E" w:rsidRDefault="007F7D1D" w:rsidP="007F7D1D">
      <w:pPr>
        <w:jc w:val="both"/>
        <w:rPr>
          <w:b/>
          <w:sz w:val="24"/>
          <w:szCs w:val="24"/>
        </w:rPr>
      </w:pPr>
      <w:r w:rsidRPr="006B700E">
        <w:rPr>
          <w:b/>
          <w:sz w:val="24"/>
          <w:szCs w:val="24"/>
        </w:rPr>
        <w:t xml:space="preserve">Konfiskimi dhe rikthimi i pronës </w:t>
      </w:r>
    </w:p>
    <w:p w14:paraId="440C0494" w14:textId="2D50EA34" w:rsidR="00676839" w:rsidRPr="006B700E" w:rsidRDefault="007F7D1D" w:rsidP="009E1169">
      <w:pPr>
        <w:rPr>
          <w:rFonts w:eastAsia="MS Mincho"/>
          <w:sz w:val="24"/>
          <w:szCs w:val="24"/>
        </w:rPr>
      </w:pPr>
      <w:r w:rsidRPr="006B700E">
        <w:rPr>
          <w:rFonts w:eastAsia="MS Mincho"/>
          <w:sz w:val="24"/>
          <w:szCs w:val="24"/>
        </w:rPr>
        <w:t>KS</w:t>
      </w:r>
      <w:r w:rsidR="00D1267E" w:rsidRPr="006B700E">
        <w:rPr>
          <w:rFonts w:eastAsia="MS Mincho"/>
          <w:sz w:val="24"/>
          <w:szCs w:val="24"/>
        </w:rPr>
        <w:t>H</w:t>
      </w:r>
      <w:r w:rsidRPr="006B700E">
        <w:rPr>
          <w:rFonts w:eastAsia="MS Mincho"/>
          <w:sz w:val="24"/>
          <w:szCs w:val="24"/>
        </w:rPr>
        <w:t xml:space="preserve">H-ja raportoi se problemet me ekzekutimin e vendimeve gjyqësore për kompensimin vazhduan për shkak të paaftësisë së qeverisë për të ekzekutuar financiarisht vendimet e GJEDNJ-së ose për të gjetur zgjidhje të efektshme për të financuar kompensimin. Në shkurt të vitit 2021, Gjykata Kushtetuese shfuqizoi disa nene të ligjit “për trajtimin e </w:t>
      </w:r>
      <w:r w:rsidR="00676839" w:rsidRPr="006B700E">
        <w:rPr>
          <w:rFonts w:eastAsia="MS Mincho"/>
          <w:sz w:val="24"/>
          <w:szCs w:val="24"/>
        </w:rPr>
        <w:t>pronës dhe përfundimin e procesit të kompensimit” dhe vendimin e qeverisë të vitit 2016 “mbi përcaktimin e rregullave dhe procedurave për vlerësimin dhe shpërndarjen e fondit financiar dhe fizik për kompensimin e pronave”</w:t>
      </w:r>
      <w:r w:rsidR="00D1267E" w:rsidRPr="006B700E">
        <w:rPr>
          <w:rFonts w:eastAsia="MS Mincho"/>
          <w:sz w:val="24"/>
          <w:szCs w:val="24"/>
        </w:rPr>
        <w:t xml:space="preserve"> si jokushtetuese.</w:t>
      </w:r>
      <w:r w:rsidR="00676839" w:rsidRPr="006B700E">
        <w:rPr>
          <w:rFonts w:eastAsia="MS Mincho"/>
          <w:sz w:val="24"/>
          <w:szCs w:val="24"/>
        </w:rPr>
        <w:t xml:space="preserve"> Këto ligje dhe vendime ishin më parë bazat ligjore që përdoreshin për të llogaritur formulën e kompensimit. Në vendimin e vet, Gjykata Kushtetuese detyroi parlamentin të amendonte disa nene të ligjit. KS</w:t>
      </w:r>
      <w:r w:rsidR="00D1267E" w:rsidRPr="006B700E">
        <w:rPr>
          <w:rFonts w:eastAsia="MS Mincho"/>
          <w:sz w:val="24"/>
          <w:szCs w:val="24"/>
        </w:rPr>
        <w:t>H</w:t>
      </w:r>
      <w:r w:rsidR="00676839" w:rsidRPr="006B700E">
        <w:rPr>
          <w:rFonts w:eastAsia="MS Mincho"/>
          <w:sz w:val="24"/>
          <w:szCs w:val="24"/>
        </w:rPr>
        <w:t xml:space="preserve">H-ja raportoi se deri në muajin shtator </w:t>
      </w:r>
      <w:r w:rsidR="00D1267E" w:rsidRPr="006B700E">
        <w:rPr>
          <w:rFonts w:eastAsia="MS Mincho"/>
          <w:sz w:val="24"/>
          <w:szCs w:val="24"/>
        </w:rPr>
        <w:t>a</w:t>
      </w:r>
      <w:r w:rsidR="00676839" w:rsidRPr="006B700E">
        <w:rPr>
          <w:rFonts w:eastAsia="MS Mincho"/>
          <w:sz w:val="24"/>
          <w:szCs w:val="24"/>
        </w:rPr>
        <w:t>mend</w:t>
      </w:r>
      <w:r w:rsidR="00D1267E" w:rsidRPr="006B700E">
        <w:rPr>
          <w:rFonts w:eastAsia="MS Mincho"/>
          <w:sz w:val="24"/>
          <w:szCs w:val="24"/>
        </w:rPr>
        <w:t>amentet</w:t>
      </w:r>
      <w:r w:rsidR="00676839" w:rsidRPr="006B700E">
        <w:rPr>
          <w:rFonts w:eastAsia="MS Mincho"/>
          <w:sz w:val="24"/>
          <w:szCs w:val="24"/>
        </w:rPr>
        <w:t xml:space="preserve"> nuk ishin hartuar e as miratuar.    </w:t>
      </w:r>
    </w:p>
    <w:p w14:paraId="0A220499" w14:textId="6D371CD5" w:rsidR="009E1169" w:rsidRPr="006B700E" w:rsidRDefault="00DD6726" w:rsidP="00DD6726">
      <w:pPr>
        <w:rPr>
          <w:sz w:val="24"/>
          <w:szCs w:val="24"/>
        </w:rPr>
      </w:pPr>
      <w:r w:rsidRPr="006B700E">
        <w:rPr>
          <w:sz w:val="24"/>
          <w:szCs w:val="24"/>
        </w:rPr>
        <w:t xml:space="preserve">Disa pronarë biznesesh, aktivistë të shoqërisë civile dhe politikanë akuzuan qeverinë për zbatim </w:t>
      </w:r>
      <w:r w:rsidR="00CC56BC">
        <w:rPr>
          <w:sz w:val="24"/>
          <w:szCs w:val="24"/>
        </w:rPr>
        <w:t>selektiv</w:t>
      </w:r>
      <w:r w:rsidRPr="006B700E">
        <w:rPr>
          <w:sz w:val="24"/>
          <w:szCs w:val="24"/>
        </w:rPr>
        <w:t xml:space="preserve"> të ligjit mbi konfiskimin e pronës</w:t>
      </w:r>
      <w:r w:rsidR="00D1267E" w:rsidRPr="006B700E">
        <w:rPr>
          <w:sz w:val="24"/>
          <w:szCs w:val="24"/>
        </w:rPr>
        <w:t>,</w:t>
      </w:r>
      <w:r w:rsidRPr="006B700E">
        <w:rPr>
          <w:sz w:val="24"/>
          <w:szCs w:val="24"/>
        </w:rPr>
        <w:t xml:space="preserve"> për qëllime politike. Në muajin tetor, MKPT-ja dhe Policia e Shtetit Shqiptar </w:t>
      </w:r>
      <w:r w:rsidR="00E04909" w:rsidRPr="006B700E">
        <w:rPr>
          <w:sz w:val="24"/>
          <w:szCs w:val="24"/>
        </w:rPr>
        <w:t xml:space="preserve">zbrazën me forcë zyrën e biznesit të një deputeti të opozitës, duke cituar shkelje të kërkesave profesionale të ndërtimit të banesës. </w:t>
      </w:r>
      <w:r w:rsidR="00042029" w:rsidRPr="006B700E">
        <w:rPr>
          <w:sz w:val="24"/>
          <w:szCs w:val="24"/>
        </w:rPr>
        <w:t>Deputetit akuzoi se kompania e tij ishte shënjestruar pasi ai akuzonte vazhdueshëm publikisht zyrtarë të qeverisë për korrupsion. Kompania bëri padi në Gjykatën Administrative të Rrethit Tiranë duke kërkuar pushim në pritj</w:t>
      </w:r>
      <w:r w:rsidR="00D1267E" w:rsidRPr="006B700E">
        <w:rPr>
          <w:sz w:val="24"/>
          <w:szCs w:val="24"/>
        </w:rPr>
        <w:t>e</w:t>
      </w:r>
      <w:r w:rsidR="00042029" w:rsidRPr="006B700E">
        <w:rPr>
          <w:sz w:val="24"/>
          <w:szCs w:val="24"/>
        </w:rPr>
        <w:t xml:space="preserve"> të rishikimit ligjor dhe marrje provash mbështetëse që justifikonin sekuestrimin e hapësirës zyrë që kishte marrë me kontratë qiraje. Në nëntor sekuestroja</w:t>
      </w:r>
      <w:r w:rsidR="00CC56BC">
        <w:rPr>
          <w:sz w:val="24"/>
          <w:szCs w:val="24"/>
        </w:rPr>
        <w:t xml:space="preserve"> u hoq</w:t>
      </w:r>
      <w:r w:rsidR="00042029" w:rsidRPr="006B700E">
        <w:rPr>
          <w:sz w:val="24"/>
          <w:szCs w:val="24"/>
        </w:rPr>
        <w:t xml:space="preserve">. </w:t>
      </w:r>
    </w:p>
    <w:p w14:paraId="1F78A997" w14:textId="4CC3387C" w:rsidR="003C74EC" w:rsidRPr="006B700E" w:rsidRDefault="003C74EC" w:rsidP="003C74EC">
      <w:pPr>
        <w:rPr>
          <w:sz w:val="24"/>
          <w:szCs w:val="24"/>
        </w:rPr>
      </w:pPr>
      <w:r w:rsidRPr="006B700E">
        <w:rPr>
          <w:sz w:val="24"/>
          <w:szCs w:val="24"/>
        </w:rPr>
        <w:t>Më 4 dhjetor, Inspektorati Kombëtar i Mbrojtjes së Territorit (IKMT) prishi një hotel duke cituar shkelje të mëdha të ligjeve të ndërtimit. Më 1 dhjetor, kompania e ndërtimit e resor</w:t>
      </w:r>
      <w:r w:rsidR="00D1267E" w:rsidRPr="006B700E">
        <w:rPr>
          <w:sz w:val="24"/>
          <w:szCs w:val="24"/>
        </w:rPr>
        <w:t>t</w:t>
      </w:r>
      <w:r w:rsidRPr="006B700E">
        <w:rPr>
          <w:sz w:val="24"/>
          <w:szCs w:val="24"/>
        </w:rPr>
        <w:t xml:space="preserve">it kishte bërë </w:t>
      </w:r>
      <w:r w:rsidRPr="006B700E">
        <w:rPr>
          <w:sz w:val="24"/>
          <w:szCs w:val="24"/>
        </w:rPr>
        <w:lastRenderedPageBreak/>
        <w:t>padi në Gjykatën Administrative të Durrësit ku kërkonte urdhër ndalimi në pritje të rishikimit ligjor të urdhrit të IKMT-së për prishje ndërtese. Gjykata nuk e caktoi menjëherë gjykatësin dhe IKMT-ja vijoi me shkatërrimin. Pronari i hotelit, i cili është gjithashtu pronar i disa mediave dhe bizneseve të tjera, ngriti pretendim</w:t>
      </w:r>
      <w:r w:rsidR="006B700E">
        <w:rPr>
          <w:sz w:val="24"/>
          <w:szCs w:val="24"/>
        </w:rPr>
        <w:t>in</w:t>
      </w:r>
      <w:r w:rsidRPr="006B700E">
        <w:rPr>
          <w:sz w:val="24"/>
          <w:szCs w:val="24"/>
        </w:rPr>
        <w:t xml:space="preserve"> se hoteli i ti</w:t>
      </w:r>
      <w:r w:rsidR="00D1267E" w:rsidRPr="006B700E">
        <w:rPr>
          <w:sz w:val="24"/>
          <w:szCs w:val="24"/>
        </w:rPr>
        <w:t>j</w:t>
      </w:r>
      <w:r w:rsidRPr="006B700E">
        <w:rPr>
          <w:sz w:val="24"/>
          <w:szCs w:val="24"/>
        </w:rPr>
        <w:t xml:space="preserve"> u shkatërrua për të mbytur kritikat dhe mospajtimin. </w:t>
      </w:r>
      <w:r w:rsidR="00AA2D29" w:rsidRPr="006B700E">
        <w:rPr>
          <w:sz w:val="24"/>
          <w:szCs w:val="24"/>
        </w:rPr>
        <w:t xml:space="preserve">Qeveria deklaroi se kishte vepruar në përputhje me ligjet përkatëse dhe se kjo prishje ndërtese ishte pjesë e një fushate më të gjerë për të fshirë ndërtimet e paligjshme në vend. </w:t>
      </w:r>
      <w:r w:rsidRPr="006B700E">
        <w:rPr>
          <w:sz w:val="24"/>
          <w:szCs w:val="24"/>
        </w:rPr>
        <w:t xml:space="preserve">  </w:t>
      </w:r>
    </w:p>
    <w:p w14:paraId="3B9F4D64" w14:textId="77777777" w:rsidR="00127529" w:rsidRPr="006B700E" w:rsidRDefault="00127529" w:rsidP="00127529">
      <w:pPr>
        <w:jc w:val="both"/>
        <w:rPr>
          <w:sz w:val="24"/>
          <w:szCs w:val="24"/>
        </w:rPr>
      </w:pPr>
      <w:r w:rsidRPr="006B700E">
        <w:rPr>
          <w:sz w:val="24"/>
          <w:szCs w:val="24"/>
        </w:rPr>
        <w:t xml:space="preserve">Vendi mbështeti Deklaratën Terezin në vitin 2009 dhe Udhëzimet dhe Praktikat më të Mira në vitin 2010. Nuk ka ndonjë ligj për rikthim ose kompensim që lidhet me konfiskimin e pronës private gjatë kohës së Holokaustit. Sipas ligjit, komunitetet fetare kanë të njëjtat të drejta rikthimi dhe kompensimi si personat fizikë dhe ligjorë. Qeveria raportoi se nuk kishte pretendime pronash të paraqitura nga viktima të Holokaustit. </w:t>
      </w:r>
    </w:p>
    <w:p w14:paraId="5FDF8DDB" w14:textId="0AFDCF04" w:rsidR="009E1169" w:rsidRPr="006B700E" w:rsidRDefault="00127529" w:rsidP="009E1169">
      <w:pPr>
        <w:rPr>
          <w:sz w:val="24"/>
          <w:szCs w:val="24"/>
        </w:rPr>
      </w:pPr>
      <w:r w:rsidRPr="006B700E">
        <w:rPr>
          <w:color w:val="000000"/>
          <w:sz w:val="24"/>
          <w:szCs w:val="24"/>
        </w:rPr>
        <w:t xml:space="preserve">Raporti i Departamentit të Shtetit për Kongresin mbi </w:t>
      </w:r>
      <w:r w:rsidRPr="006B700E">
        <w:rPr>
          <w:i/>
          <w:color w:val="000000"/>
          <w:sz w:val="24"/>
          <w:szCs w:val="24"/>
        </w:rPr>
        <w:t>Aktin e Drejtësisë për të Mbijetuarit e Pakompensuar Sot (JUST)</w:t>
      </w:r>
      <w:r w:rsidRPr="006B700E">
        <w:rPr>
          <w:color w:val="000000"/>
          <w:sz w:val="24"/>
          <w:szCs w:val="24"/>
        </w:rPr>
        <w:t>, i publikuar në vitin 2020, mund të gjendet në faqen e internetit të Departamentit:</w:t>
      </w:r>
      <w:r w:rsidR="009E1169" w:rsidRPr="006B700E">
        <w:rPr>
          <w:sz w:val="24"/>
          <w:szCs w:val="24"/>
        </w:rPr>
        <w:t xml:space="preserve"> </w:t>
      </w:r>
      <w:hyperlink r:id="rId7" w:history="1">
        <w:r w:rsidR="009E1169" w:rsidRPr="006B700E">
          <w:rPr>
            <w:rStyle w:val="Hyperlink"/>
            <w:sz w:val="24"/>
            <w:szCs w:val="24"/>
          </w:rPr>
          <w:t>https://www.state.gov/reports/just-act-report-to-congress/</w:t>
        </w:r>
      </w:hyperlink>
    </w:p>
    <w:p w14:paraId="36357C9B" w14:textId="77777777" w:rsidR="00127529" w:rsidRPr="006B700E" w:rsidRDefault="00127529" w:rsidP="00127529">
      <w:pPr>
        <w:jc w:val="both"/>
        <w:rPr>
          <w:b/>
        </w:rPr>
      </w:pPr>
      <w:r w:rsidRPr="006B700E">
        <w:rPr>
          <w:b/>
        </w:rPr>
        <w:t xml:space="preserve">f. Ndërhyrja arbitrare ose e paligjshme në privatësi, familje, shtëpi ose korrespondencë </w:t>
      </w:r>
    </w:p>
    <w:p w14:paraId="4B87F71E" w14:textId="36101BA4" w:rsidR="009E1169" w:rsidRPr="006B700E" w:rsidRDefault="00127529" w:rsidP="009E1169">
      <w:pPr>
        <w:rPr>
          <w:sz w:val="24"/>
          <w:szCs w:val="24"/>
        </w:rPr>
      </w:pPr>
      <w:r w:rsidRPr="006B700E">
        <w:rPr>
          <w:sz w:val="24"/>
          <w:szCs w:val="24"/>
        </w:rPr>
        <w:t xml:space="preserve">Kushtetuta dhe ligjet i ndalojnë ndërhyrjet arbitrare ose të paligjshme në privatësi, familje, shtëpi ose korrespondencë, por pati raportime se qeveria nuk i kishte respektuar këto ndalime. Vendi përjetoi dy sulme kibernetike </w:t>
      </w:r>
      <w:r w:rsidR="00016A02" w:rsidRPr="006B700E">
        <w:rPr>
          <w:sz w:val="24"/>
          <w:szCs w:val="24"/>
        </w:rPr>
        <w:t xml:space="preserve">për </w:t>
      </w:r>
      <w:r w:rsidR="00C17ABF" w:rsidRPr="006B700E">
        <w:rPr>
          <w:sz w:val="24"/>
          <w:szCs w:val="24"/>
        </w:rPr>
        <w:t xml:space="preserve">të </w:t>
      </w:r>
      <w:r w:rsidR="00016A02" w:rsidRPr="006B700E">
        <w:rPr>
          <w:sz w:val="24"/>
          <w:szCs w:val="24"/>
        </w:rPr>
        <w:t xml:space="preserve">cilat u akuzuan </w:t>
      </w:r>
      <w:r w:rsidR="00C17ABF" w:rsidRPr="006B700E">
        <w:rPr>
          <w:sz w:val="24"/>
          <w:szCs w:val="24"/>
        </w:rPr>
        <w:t xml:space="preserve">aktorë të shtetit të Iranit dhe hakerat publikuan të dhënat personale. </w:t>
      </w:r>
    </w:p>
    <w:p w14:paraId="278FB231" w14:textId="77777777" w:rsidR="00F711A9" w:rsidRPr="006B700E" w:rsidRDefault="00F711A9" w:rsidP="00F711A9">
      <w:pPr>
        <w:spacing w:after="0"/>
        <w:jc w:val="both"/>
        <w:rPr>
          <w:b/>
          <w:sz w:val="32"/>
          <w:szCs w:val="32"/>
        </w:rPr>
      </w:pPr>
      <w:r w:rsidRPr="006B700E">
        <w:rPr>
          <w:b/>
          <w:sz w:val="32"/>
          <w:szCs w:val="32"/>
        </w:rPr>
        <w:t xml:space="preserve">Seksioni 2. Respektimi i të drejtave të njeriut  </w:t>
      </w:r>
    </w:p>
    <w:p w14:paraId="4EB3D917" w14:textId="283D4C80" w:rsidR="00F711A9" w:rsidRPr="006B700E" w:rsidRDefault="00F711A9" w:rsidP="00F711A9">
      <w:pPr>
        <w:jc w:val="both"/>
        <w:rPr>
          <w:b/>
        </w:rPr>
      </w:pPr>
      <w:r w:rsidRPr="006B700E">
        <w:rPr>
          <w:b/>
        </w:rPr>
        <w:t xml:space="preserve">a. Liria e shprehjes, përfshirë </w:t>
      </w:r>
      <w:r w:rsidR="00016A02" w:rsidRPr="006B700E">
        <w:rPr>
          <w:b/>
        </w:rPr>
        <w:t xml:space="preserve">për </w:t>
      </w:r>
      <w:r w:rsidRPr="006B700E">
        <w:rPr>
          <w:b/>
        </w:rPr>
        <w:t xml:space="preserve">anëtarët e shtypit dhe </w:t>
      </w:r>
      <w:r w:rsidR="00016A02" w:rsidRPr="006B700E">
        <w:rPr>
          <w:b/>
        </w:rPr>
        <w:t xml:space="preserve">të </w:t>
      </w:r>
      <w:r w:rsidRPr="006B700E">
        <w:rPr>
          <w:b/>
        </w:rPr>
        <w:t xml:space="preserve">mediave të tjera  </w:t>
      </w:r>
    </w:p>
    <w:p w14:paraId="2B02EE8C" w14:textId="3210E526" w:rsidR="00F711A9" w:rsidRPr="006B700E" w:rsidRDefault="00F711A9" w:rsidP="00F711A9">
      <w:pPr>
        <w:jc w:val="both"/>
        <w:rPr>
          <w:sz w:val="24"/>
          <w:szCs w:val="24"/>
        </w:rPr>
      </w:pPr>
      <w:r w:rsidRPr="006B700E">
        <w:rPr>
          <w:sz w:val="24"/>
          <w:szCs w:val="24"/>
        </w:rPr>
        <w:t>Kushtetuta garanton lirinë e fjalës, përfshirë atë të shtypit dhe</w:t>
      </w:r>
      <w:r w:rsidR="00016A02" w:rsidRPr="006B700E">
        <w:rPr>
          <w:sz w:val="24"/>
          <w:szCs w:val="24"/>
        </w:rPr>
        <w:t xml:space="preserve"> të</w:t>
      </w:r>
      <w:r w:rsidRPr="006B700E">
        <w:rPr>
          <w:sz w:val="24"/>
          <w:szCs w:val="24"/>
        </w:rPr>
        <w:t xml:space="preserve"> mediave të tjera dhe qeveria në përgjithësi i respektoi këto të drejta, megjithëse shpifja është vepër penale. Vëzhguesit deklaruan se qeveria, partitë politike, bizneset dhe grupet kriminale provuan të ndikonin median në mënyra të papërshtatshme dhe jotransparente. </w:t>
      </w:r>
    </w:p>
    <w:p w14:paraId="51FFB147" w14:textId="7DB82500" w:rsidR="009E1169" w:rsidRPr="006B700E" w:rsidRDefault="00F711A9" w:rsidP="009E1169">
      <w:pPr>
        <w:rPr>
          <w:sz w:val="24"/>
          <w:szCs w:val="24"/>
        </w:rPr>
      </w:pPr>
      <w:r w:rsidRPr="006B700E">
        <w:rPr>
          <w:sz w:val="24"/>
          <w:szCs w:val="24"/>
        </w:rPr>
        <w:t xml:space="preserve">Ka media të lirë, me lulëzim të </w:t>
      </w:r>
      <w:r w:rsidR="00016A02" w:rsidRPr="006B700E">
        <w:rPr>
          <w:sz w:val="24"/>
          <w:szCs w:val="24"/>
        </w:rPr>
        <w:t>kanaleve</w:t>
      </w:r>
      <w:r w:rsidRPr="006B700E">
        <w:rPr>
          <w:sz w:val="24"/>
          <w:szCs w:val="24"/>
        </w:rPr>
        <w:t xml:space="preserve"> mediatike, veçanërisht </w:t>
      </w:r>
      <w:r w:rsidRPr="006B700E">
        <w:rPr>
          <w:i/>
          <w:iCs/>
          <w:sz w:val="24"/>
          <w:szCs w:val="24"/>
        </w:rPr>
        <w:t>online</w:t>
      </w:r>
      <w:r w:rsidRPr="006B700E">
        <w:rPr>
          <w:sz w:val="24"/>
          <w:szCs w:val="24"/>
        </w:rPr>
        <w:t xml:space="preserve">, që përfaqësojnë një </w:t>
      </w:r>
      <w:r w:rsidRPr="006B700E">
        <w:rPr>
          <w:sz w:val="24"/>
          <w:szCs w:val="24"/>
        </w:rPr>
        <w:lastRenderedPageBreak/>
        <w:t xml:space="preserve">spektër të gjerë pikëpamjesh </w:t>
      </w:r>
      <w:r w:rsidR="00CA03FF" w:rsidRPr="006B700E">
        <w:rPr>
          <w:sz w:val="24"/>
          <w:szCs w:val="24"/>
        </w:rPr>
        <w:t>pa përgjegjshmëri, shpesh pa atribui</w:t>
      </w:r>
      <w:r w:rsidR="00CC56BC">
        <w:rPr>
          <w:sz w:val="24"/>
          <w:szCs w:val="24"/>
        </w:rPr>
        <w:t>m</w:t>
      </w:r>
      <w:r w:rsidR="00CA03FF" w:rsidRPr="006B700E">
        <w:rPr>
          <w:sz w:val="24"/>
          <w:szCs w:val="24"/>
        </w:rPr>
        <w:t xml:space="preserve">. Megjithatë, ka pak media të pavarura pasi shumica e kanaleve mediatike janë pronë e pronarëve të njohur të bizneseve me interesa </w:t>
      </w:r>
      <w:r w:rsidR="003B53DD">
        <w:rPr>
          <w:sz w:val="24"/>
          <w:szCs w:val="24"/>
        </w:rPr>
        <w:t>të gjera,</w:t>
      </w:r>
      <w:r w:rsidR="00CA03FF" w:rsidRPr="006B700E">
        <w:rPr>
          <w:sz w:val="24"/>
          <w:szCs w:val="24"/>
        </w:rPr>
        <w:t xml:space="preserve"> të cilët i përdorin kanalet mediatike për të </w:t>
      </w:r>
      <w:r w:rsidR="003B53DD">
        <w:rPr>
          <w:sz w:val="24"/>
          <w:szCs w:val="24"/>
        </w:rPr>
        <w:t>çuar përpara</w:t>
      </w:r>
      <w:r w:rsidR="00CA03FF" w:rsidRPr="006B700E">
        <w:rPr>
          <w:sz w:val="24"/>
          <w:szCs w:val="24"/>
        </w:rPr>
        <w:t xml:space="preserve"> interesat e tyre përfshirë duke përfituar </w:t>
      </w:r>
      <w:r w:rsidR="003B53DD">
        <w:rPr>
          <w:sz w:val="24"/>
          <w:szCs w:val="24"/>
        </w:rPr>
        <w:t>favore</w:t>
      </w:r>
      <w:r w:rsidR="00CA03FF" w:rsidRPr="006B700E">
        <w:rPr>
          <w:sz w:val="24"/>
          <w:szCs w:val="24"/>
        </w:rPr>
        <w:t xml:space="preserve"> dhe duke promovuar interesat e tyre tek partitë politike. Pati raportime të besueshme se përfaqësues të lartë të mediave përdorën kanalet e tyre mediatike për t’u bërë shantazh bizneseve duke kërcënuar </w:t>
      </w:r>
      <w:r w:rsidR="00640225">
        <w:rPr>
          <w:sz w:val="24"/>
          <w:szCs w:val="24"/>
        </w:rPr>
        <w:t xml:space="preserve">me </w:t>
      </w:r>
      <w:r w:rsidR="00CA03FF" w:rsidRPr="006B700E">
        <w:rPr>
          <w:sz w:val="24"/>
          <w:szCs w:val="24"/>
        </w:rPr>
        <w:t xml:space="preserve">mbulim </w:t>
      </w:r>
      <w:r w:rsidR="00EA2DC3" w:rsidRPr="006B700E">
        <w:rPr>
          <w:sz w:val="24"/>
          <w:szCs w:val="24"/>
        </w:rPr>
        <w:t xml:space="preserve">të pafavorshëm </w:t>
      </w:r>
      <w:r w:rsidR="00CA03FF" w:rsidRPr="006B700E">
        <w:rPr>
          <w:sz w:val="24"/>
          <w:szCs w:val="24"/>
        </w:rPr>
        <w:t>mediatik.</w:t>
      </w:r>
      <w:r w:rsidR="00F0797A" w:rsidRPr="006B700E">
        <w:rPr>
          <w:sz w:val="24"/>
          <w:szCs w:val="24"/>
        </w:rPr>
        <w:t xml:space="preserve"> </w:t>
      </w:r>
      <w:r w:rsidR="00C335C3" w:rsidRPr="006B700E">
        <w:rPr>
          <w:sz w:val="24"/>
          <w:szCs w:val="24"/>
        </w:rPr>
        <w:t>Presioni politik, korrupsioni dhe mungesa e fondeve kufizonin median e shkruar të pavarur dhe gazetarët</w:t>
      </w:r>
      <w:r w:rsidR="00016A02" w:rsidRPr="006B700E">
        <w:rPr>
          <w:sz w:val="24"/>
          <w:szCs w:val="24"/>
        </w:rPr>
        <w:t>,</w:t>
      </w:r>
      <w:r w:rsidR="00C335C3" w:rsidRPr="006B700E">
        <w:rPr>
          <w:sz w:val="24"/>
          <w:szCs w:val="24"/>
        </w:rPr>
        <w:t xml:space="preserve"> sipas raportimeve</w:t>
      </w:r>
      <w:r w:rsidR="00016A02" w:rsidRPr="006B700E">
        <w:rPr>
          <w:sz w:val="24"/>
          <w:szCs w:val="24"/>
        </w:rPr>
        <w:t>,</w:t>
      </w:r>
      <w:r w:rsidR="00C335C3" w:rsidRPr="006B700E">
        <w:rPr>
          <w:sz w:val="24"/>
          <w:szCs w:val="24"/>
        </w:rPr>
        <w:t xml:space="preserve"> praktikonin vetëcensurim. </w:t>
      </w:r>
      <w:r w:rsidR="00EA2DC3" w:rsidRPr="006B700E">
        <w:rPr>
          <w:sz w:val="24"/>
          <w:szCs w:val="24"/>
        </w:rPr>
        <w:t xml:space="preserve">Raporti i Misionit Ndërkombëtar për Vëzhgimin e Zgjedhjeve në vijim të zgjedhjeve kombëtare parlamentare të prillit 2021 vlerësoi se gazetarët mbetën të cenueshëm nga presioni dhe korrupsioni </w:t>
      </w:r>
      <w:r w:rsidR="009E1169" w:rsidRPr="006B700E">
        <w:rPr>
          <w:sz w:val="24"/>
          <w:szCs w:val="24"/>
        </w:rPr>
        <w:t>(s</w:t>
      </w:r>
      <w:r w:rsidR="00EA2DC3" w:rsidRPr="006B700E">
        <w:rPr>
          <w:sz w:val="24"/>
          <w:szCs w:val="24"/>
        </w:rPr>
        <w:t xml:space="preserve">hikoni seksionin </w:t>
      </w:r>
      <w:r w:rsidR="009E1169" w:rsidRPr="006B700E">
        <w:rPr>
          <w:sz w:val="24"/>
          <w:szCs w:val="24"/>
        </w:rPr>
        <w:t>3.)</w:t>
      </w:r>
    </w:p>
    <w:p w14:paraId="080DB14D" w14:textId="00DDC2CE" w:rsidR="00EA2DC3" w:rsidRPr="006B700E" w:rsidRDefault="00EA2DC3" w:rsidP="00EA2DC3">
      <w:pPr>
        <w:jc w:val="both"/>
        <w:rPr>
          <w:sz w:val="24"/>
          <w:szCs w:val="24"/>
        </w:rPr>
      </w:pPr>
      <w:r w:rsidRPr="006B700E">
        <w:rPr>
          <w:sz w:val="24"/>
          <w:szCs w:val="24"/>
        </w:rPr>
        <w:t xml:space="preserve">Pasiguria ekonomike për shkak të mungesës së kontratave të zbatueshme të punës kontribuoi në njëanshmëri në raportim. Unioni i Gazetarëve Shqiptarë (UGSH) vazhdoi të raportonte vonesa në dhënien e pagave të reporterëve në shumë kompani mediatike, në disa raste deri në </w:t>
      </w:r>
      <w:r w:rsidR="00FF1779" w:rsidRPr="006B700E">
        <w:rPr>
          <w:sz w:val="24"/>
          <w:szCs w:val="24"/>
        </w:rPr>
        <w:t xml:space="preserve">gjashtë javë </w:t>
      </w:r>
      <w:r w:rsidRPr="006B700E">
        <w:rPr>
          <w:sz w:val="24"/>
          <w:szCs w:val="24"/>
        </w:rPr>
        <w:t xml:space="preserve">vonesë. </w:t>
      </w:r>
      <w:r w:rsidR="00FF1779" w:rsidRPr="006B700E">
        <w:rPr>
          <w:sz w:val="24"/>
          <w:szCs w:val="24"/>
        </w:rPr>
        <w:t>Problemet financiare detyruan disa gazetarë të bazoheshin më shumë në burime të jasht</w:t>
      </w:r>
      <w:r w:rsidR="00016A02" w:rsidRPr="006B700E">
        <w:rPr>
          <w:sz w:val="24"/>
          <w:szCs w:val="24"/>
        </w:rPr>
        <w:t>me</w:t>
      </w:r>
      <w:r w:rsidR="00FF1779" w:rsidRPr="006B700E">
        <w:rPr>
          <w:sz w:val="24"/>
          <w:szCs w:val="24"/>
        </w:rPr>
        <w:t xml:space="preserve"> të ardhurash, gjë që </w:t>
      </w:r>
      <w:r w:rsidR="00016A02" w:rsidRPr="006B700E">
        <w:rPr>
          <w:sz w:val="24"/>
          <w:szCs w:val="24"/>
        </w:rPr>
        <w:t>ngre</w:t>
      </w:r>
      <w:r w:rsidR="00FF1779" w:rsidRPr="006B700E">
        <w:rPr>
          <w:sz w:val="24"/>
          <w:szCs w:val="24"/>
        </w:rPr>
        <w:t xml:space="preserve"> pyetje në lidhje me pavarësinë dhe integritetin e raportimit të tyre. Nxjerrja e të dhënave në lidhje me informacionin për pagat në dhjetor të vitit 2021 dhe në janar tregoi se disa gazetarë të njohur dhe kanale mediatike merrnin pagesa të drejtpërdrejta nga kompanitë e kontraktuara për ndërtimin e inceneratorëve. Kompanitë e </w:t>
      </w:r>
      <w:r w:rsidR="009E3D23">
        <w:rPr>
          <w:sz w:val="24"/>
          <w:szCs w:val="24"/>
        </w:rPr>
        <w:t>incineratorëve</w:t>
      </w:r>
      <w:r w:rsidR="00FF1779" w:rsidRPr="006B700E">
        <w:rPr>
          <w:sz w:val="24"/>
          <w:szCs w:val="24"/>
        </w:rPr>
        <w:t xml:space="preserve"> ishin nën hetim </w:t>
      </w:r>
      <w:r w:rsidR="00A92D70">
        <w:rPr>
          <w:sz w:val="24"/>
          <w:szCs w:val="24"/>
        </w:rPr>
        <w:t>me</w:t>
      </w:r>
      <w:r w:rsidR="00FF1779" w:rsidRPr="006B700E">
        <w:rPr>
          <w:sz w:val="24"/>
          <w:szCs w:val="24"/>
        </w:rPr>
        <w:t xml:space="preserve"> akuza korrupsioni dhe mashtrimi. </w:t>
      </w:r>
    </w:p>
    <w:p w14:paraId="27BE429A" w14:textId="2518B4F9" w:rsidR="009E1169" w:rsidRPr="006B700E" w:rsidRDefault="00D65858" w:rsidP="009E1169">
      <w:pPr>
        <w:rPr>
          <w:sz w:val="24"/>
          <w:szCs w:val="24"/>
        </w:rPr>
      </w:pPr>
      <w:r w:rsidRPr="006B700E">
        <w:rPr>
          <w:sz w:val="24"/>
          <w:szCs w:val="24"/>
        </w:rPr>
        <w:t xml:space="preserve">Rritja e madhe e portaleve të mediave </w:t>
      </w:r>
      <w:r w:rsidRPr="006B700E">
        <w:rPr>
          <w:i/>
          <w:iCs/>
          <w:sz w:val="24"/>
          <w:szCs w:val="24"/>
        </w:rPr>
        <w:t xml:space="preserve">online </w:t>
      </w:r>
      <w:r w:rsidRPr="006B700E">
        <w:rPr>
          <w:sz w:val="24"/>
          <w:szCs w:val="24"/>
        </w:rPr>
        <w:t xml:space="preserve">ofroi shumëllojshmëri pikëpamjesh si edhe potencial për korrupsion. OJQ-të ishin </w:t>
      </w:r>
      <w:r w:rsidR="00A92D70">
        <w:rPr>
          <w:sz w:val="24"/>
          <w:szCs w:val="24"/>
        </w:rPr>
        <w:t>besonin</w:t>
      </w:r>
      <w:r w:rsidRPr="006B700E">
        <w:rPr>
          <w:sz w:val="24"/>
          <w:szCs w:val="24"/>
        </w:rPr>
        <w:t xml:space="preserve"> se etika profesionale </w:t>
      </w:r>
      <w:r w:rsidR="009D3D5E" w:rsidRPr="006B700E">
        <w:rPr>
          <w:sz w:val="24"/>
          <w:szCs w:val="24"/>
        </w:rPr>
        <w:t>përbënte</w:t>
      </w:r>
      <w:r w:rsidRPr="006B700E">
        <w:rPr>
          <w:sz w:val="24"/>
          <w:szCs w:val="24"/>
        </w:rPr>
        <w:t xml:space="preserve"> </w:t>
      </w:r>
      <w:r w:rsidR="00AA1FCF" w:rsidRPr="006B700E">
        <w:rPr>
          <w:sz w:val="24"/>
          <w:szCs w:val="24"/>
        </w:rPr>
        <w:t xml:space="preserve">përparësi </w:t>
      </w:r>
      <w:r w:rsidR="009D3D5E" w:rsidRPr="006B700E">
        <w:rPr>
          <w:sz w:val="24"/>
          <w:szCs w:val="24"/>
        </w:rPr>
        <w:t>të</w:t>
      </w:r>
      <w:r w:rsidR="00AA1FCF" w:rsidRPr="006B700E">
        <w:rPr>
          <w:sz w:val="24"/>
          <w:szCs w:val="24"/>
        </w:rPr>
        <w:t xml:space="preserve"> ulët për disa prej </w:t>
      </w:r>
      <w:r w:rsidR="009D3D5E" w:rsidRPr="006B700E">
        <w:rPr>
          <w:sz w:val="24"/>
          <w:szCs w:val="24"/>
        </w:rPr>
        <w:t xml:space="preserve">mbi </w:t>
      </w:r>
      <w:r w:rsidR="009E1169" w:rsidRPr="006B700E">
        <w:rPr>
          <w:sz w:val="24"/>
          <w:szCs w:val="24"/>
        </w:rPr>
        <w:t xml:space="preserve">900 </w:t>
      </w:r>
      <w:r w:rsidR="00AA1FCF" w:rsidRPr="006B700E">
        <w:rPr>
          <w:sz w:val="24"/>
          <w:szCs w:val="24"/>
        </w:rPr>
        <w:t xml:space="preserve">portaleve informative </w:t>
      </w:r>
      <w:r w:rsidR="003039D5">
        <w:rPr>
          <w:sz w:val="24"/>
          <w:szCs w:val="24"/>
        </w:rPr>
        <w:t xml:space="preserve">që mendohej se ekzistonin </w:t>
      </w:r>
      <w:r w:rsidR="00AA1FCF" w:rsidRPr="006B700E">
        <w:rPr>
          <w:sz w:val="24"/>
          <w:szCs w:val="24"/>
        </w:rPr>
        <w:t>në vend, duke ngritur kështu shqetësime në lidhje me përhapjen e lajmeve të rreme</w:t>
      </w:r>
      <w:r w:rsidR="009D3D5E" w:rsidRPr="006B700E">
        <w:rPr>
          <w:sz w:val="24"/>
          <w:szCs w:val="24"/>
        </w:rPr>
        <w:t>,</w:t>
      </w:r>
      <w:r w:rsidR="00AA1FCF" w:rsidRPr="006B700E">
        <w:rPr>
          <w:sz w:val="24"/>
          <w:szCs w:val="24"/>
        </w:rPr>
        <w:t xml:space="preserve"> të cilat </w:t>
      </w:r>
      <w:r w:rsidR="009D3D5E" w:rsidRPr="006B700E">
        <w:rPr>
          <w:sz w:val="24"/>
          <w:szCs w:val="24"/>
        </w:rPr>
        <w:t>mendohej</w:t>
      </w:r>
      <w:r w:rsidR="00AA1FCF" w:rsidRPr="006B700E">
        <w:rPr>
          <w:sz w:val="24"/>
          <w:szCs w:val="24"/>
        </w:rPr>
        <w:t xml:space="preserve"> se u sillnin përfitime interesave të</w:t>
      </w:r>
      <w:r w:rsidR="009D3D5E" w:rsidRPr="006B700E">
        <w:rPr>
          <w:sz w:val="24"/>
          <w:szCs w:val="24"/>
        </w:rPr>
        <w:t xml:space="preserve"> </w:t>
      </w:r>
      <w:r w:rsidR="00AA1FCF" w:rsidRPr="006B700E">
        <w:rPr>
          <w:sz w:val="24"/>
          <w:szCs w:val="24"/>
        </w:rPr>
        <w:t xml:space="preserve">caktuara financiare, politike dhe kriminale. UGSH-ja gjithashtu raportoi rritje të </w:t>
      </w:r>
      <w:r w:rsidR="00350371">
        <w:rPr>
          <w:sz w:val="24"/>
          <w:szCs w:val="24"/>
        </w:rPr>
        <w:t>mprehtë</w:t>
      </w:r>
      <w:r w:rsidR="00AA1FCF" w:rsidRPr="006B700E">
        <w:rPr>
          <w:sz w:val="24"/>
          <w:szCs w:val="24"/>
        </w:rPr>
        <w:t xml:space="preserve"> të numrit të ankesave për dezinformim dhe sulme personale nga portalet </w:t>
      </w:r>
      <w:r w:rsidR="00AA1FCF" w:rsidRPr="006B700E">
        <w:rPr>
          <w:i/>
          <w:iCs/>
          <w:sz w:val="24"/>
          <w:szCs w:val="24"/>
        </w:rPr>
        <w:t xml:space="preserve">online. </w:t>
      </w:r>
      <w:r w:rsidR="00AA1FCF" w:rsidRPr="006B700E">
        <w:rPr>
          <w:sz w:val="24"/>
          <w:szCs w:val="24"/>
        </w:rPr>
        <w:t>Gjatë vitit, pati akuz</w:t>
      </w:r>
      <w:r w:rsidR="009D3D5E" w:rsidRPr="006B700E">
        <w:rPr>
          <w:sz w:val="24"/>
          <w:szCs w:val="24"/>
        </w:rPr>
        <w:t>a</w:t>
      </w:r>
      <w:r w:rsidR="00AA1FCF" w:rsidRPr="006B700E">
        <w:rPr>
          <w:sz w:val="24"/>
          <w:szCs w:val="24"/>
        </w:rPr>
        <w:t xml:space="preserve"> se mediat përdoreshin nga pronarët ose punonjësit e lartë të mediave për zhvatje. </w:t>
      </w:r>
    </w:p>
    <w:p w14:paraId="2389A450" w14:textId="733FD153" w:rsidR="00587DF0" w:rsidRPr="006B700E" w:rsidRDefault="00267C51" w:rsidP="009E1169">
      <w:pPr>
        <w:rPr>
          <w:sz w:val="24"/>
          <w:szCs w:val="24"/>
        </w:rPr>
      </w:pPr>
      <w:r w:rsidRPr="006B700E">
        <w:rPr>
          <w:b/>
          <w:bCs/>
          <w:sz w:val="24"/>
          <w:szCs w:val="24"/>
        </w:rPr>
        <w:t>Liria e shprehjes</w:t>
      </w:r>
      <w:r w:rsidR="009E1169" w:rsidRPr="006B700E">
        <w:rPr>
          <w:b/>
          <w:bCs/>
          <w:sz w:val="24"/>
          <w:szCs w:val="24"/>
        </w:rPr>
        <w:t>:</w:t>
      </w:r>
      <w:r w:rsidR="009E1169" w:rsidRPr="006B700E">
        <w:rPr>
          <w:sz w:val="24"/>
          <w:szCs w:val="24"/>
        </w:rPr>
        <w:t xml:space="preserve"> </w:t>
      </w:r>
      <w:r w:rsidR="00587DF0" w:rsidRPr="006B700E">
        <w:rPr>
          <w:sz w:val="24"/>
          <w:szCs w:val="24"/>
        </w:rPr>
        <w:t>Qytetarët ishin të lirë të kritikonin hapur qeverinë, përfshirë edhe në media tradicionale dhe sociale, për çështje që i shqetëso</w:t>
      </w:r>
      <w:r w:rsidR="00B760D1" w:rsidRPr="006B700E">
        <w:rPr>
          <w:sz w:val="24"/>
          <w:szCs w:val="24"/>
        </w:rPr>
        <w:t>nin</w:t>
      </w:r>
      <w:r w:rsidR="00587DF0" w:rsidRPr="006B700E">
        <w:rPr>
          <w:sz w:val="24"/>
          <w:szCs w:val="24"/>
        </w:rPr>
        <w:t xml:space="preserve"> dhe e kanë bërë këtë. Megjithatë, pati shqetësime se kritika hapur ndaj qeverisë mund të ketë pasoja të pakëndshme.  </w:t>
      </w:r>
    </w:p>
    <w:p w14:paraId="490DC5D7" w14:textId="18F98149" w:rsidR="009E1169" w:rsidRPr="006B700E" w:rsidRDefault="00AB653F" w:rsidP="009E1169">
      <w:pPr>
        <w:rPr>
          <w:sz w:val="24"/>
          <w:szCs w:val="24"/>
        </w:rPr>
      </w:pPr>
      <w:r w:rsidRPr="006B700E">
        <w:rPr>
          <w:sz w:val="24"/>
          <w:szCs w:val="24"/>
        </w:rPr>
        <w:t xml:space="preserve">Në shtator, </w:t>
      </w:r>
      <w:r w:rsidR="00350371">
        <w:rPr>
          <w:sz w:val="24"/>
          <w:szCs w:val="24"/>
        </w:rPr>
        <w:t xml:space="preserve">u shfaqën në media </w:t>
      </w:r>
      <w:r w:rsidRPr="006B700E">
        <w:rPr>
          <w:sz w:val="24"/>
          <w:szCs w:val="24"/>
        </w:rPr>
        <w:t>dokumente</w:t>
      </w:r>
      <w:r w:rsidR="00350371">
        <w:rPr>
          <w:sz w:val="24"/>
          <w:szCs w:val="24"/>
        </w:rPr>
        <w:t xml:space="preserve"> që rodhën </w:t>
      </w:r>
      <w:r w:rsidRPr="006B700E">
        <w:rPr>
          <w:sz w:val="24"/>
          <w:szCs w:val="24"/>
        </w:rPr>
        <w:t xml:space="preserve">pas një sulmi kibernetik në sistemin e </w:t>
      </w:r>
      <w:r w:rsidRPr="006B700E">
        <w:rPr>
          <w:sz w:val="24"/>
          <w:szCs w:val="24"/>
        </w:rPr>
        <w:lastRenderedPageBreak/>
        <w:t>policisë. Në 9 shtator, prokurori</w:t>
      </w:r>
      <w:r w:rsidR="00B760D1" w:rsidRPr="006B700E">
        <w:rPr>
          <w:sz w:val="24"/>
          <w:szCs w:val="24"/>
        </w:rPr>
        <w:t>a</w:t>
      </w:r>
      <w:r w:rsidRPr="006B700E">
        <w:rPr>
          <w:sz w:val="24"/>
          <w:szCs w:val="24"/>
        </w:rPr>
        <w:t xml:space="preserve">, e cila po hetonte, nxori një urdhër që ndalonte publikimin e dokumenteve të nxjerra, ku përmendte shqetësime në lidhje me sigurinë kombëtare dhe </w:t>
      </w:r>
      <w:r w:rsidR="00B760D1" w:rsidRPr="006B700E">
        <w:rPr>
          <w:sz w:val="24"/>
          <w:szCs w:val="24"/>
        </w:rPr>
        <w:t>fshehtësinë</w:t>
      </w:r>
      <w:r w:rsidRPr="006B700E">
        <w:rPr>
          <w:sz w:val="24"/>
          <w:szCs w:val="24"/>
        </w:rPr>
        <w:t xml:space="preserve"> e hetimit. Në </w:t>
      </w:r>
      <w:r w:rsidR="00C604C7" w:rsidRPr="006B700E">
        <w:rPr>
          <w:sz w:val="24"/>
          <w:szCs w:val="24"/>
        </w:rPr>
        <w:t xml:space="preserve">deklaratën e </w:t>
      </w:r>
      <w:r w:rsidRPr="006B700E">
        <w:rPr>
          <w:sz w:val="24"/>
          <w:szCs w:val="24"/>
        </w:rPr>
        <w:t>20 shtator</w:t>
      </w:r>
      <w:r w:rsidR="00C604C7" w:rsidRPr="006B700E">
        <w:rPr>
          <w:sz w:val="24"/>
          <w:szCs w:val="24"/>
        </w:rPr>
        <w:t xml:space="preserve">it, UGSH-ja kritikonte urdhrin për kërcënimin e lirisë së informacionit dhe lirinë e shprehjes dhe krijimin e premisave për censurë dhe vetëcensurë.   </w:t>
      </w:r>
      <w:r w:rsidRPr="006B700E">
        <w:rPr>
          <w:sz w:val="24"/>
          <w:szCs w:val="24"/>
        </w:rPr>
        <w:t xml:space="preserve"> </w:t>
      </w:r>
    </w:p>
    <w:p w14:paraId="0A9E0E56" w14:textId="15985EBE" w:rsidR="00B760D1" w:rsidRPr="006B700E" w:rsidRDefault="00B760D1" w:rsidP="00B760D1">
      <w:pPr>
        <w:jc w:val="both"/>
        <w:rPr>
          <w:sz w:val="24"/>
          <w:szCs w:val="24"/>
        </w:rPr>
      </w:pPr>
      <w:r w:rsidRPr="006B700E">
        <w:rPr>
          <w:b/>
          <w:sz w:val="24"/>
          <w:szCs w:val="24"/>
        </w:rPr>
        <w:t>Dhuna dhe ngacmimi:</w:t>
      </w:r>
      <w:r w:rsidRPr="006B700E">
        <w:rPr>
          <w:sz w:val="24"/>
          <w:szCs w:val="24"/>
        </w:rPr>
        <w:t xml:space="preserve"> Interesat politike dhe ato të biznesit</w:t>
      </w:r>
      <w:r w:rsidR="00EC226A" w:rsidRPr="006B700E">
        <w:rPr>
          <w:sz w:val="24"/>
          <w:szCs w:val="24"/>
        </w:rPr>
        <w:t>,</w:t>
      </w:r>
      <w:r w:rsidRPr="006B700E">
        <w:rPr>
          <w:sz w:val="24"/>
          <w:szCs w:val="24"/>
        </w:rPr>
        <w:t xml:space="preserve"> sipas raportimeve</w:t>
      </w:r>
      <w:r w:rsidR="00EC226A" w:rsidRPr="006B700E">
        <w:rPr>
          <w:sz w:val="24"/>
          <w:szCs w:val="24"/>
        </w:rPr>
        <w:t>,</w:t>
      </w:r>
      <w:r w:rsidRPr="006B700E">
        <w:rPr>
          <w:sz w:val="24"/>
          <w:szCs w:val="24"/>
        </w:rPr>
        <w:t xml:space="preserve"> ushtruan presion te gazetarët. UGSH-ja raportoi disa raste dhune dhe kanosjeje ndaj anëtarëve të medias. Në janar, policia bashkiake në Tiranë largoi me forcë kameramanin Ledio Guni teksa ai përpiqej të filmonte prishjen e banesave në periferi të Tiranës. Ledio Guni bëri ankesë ndaj policisë bashkiake ku akuzonte për lëndim fizik, ankesë e cila iu referua prokurorisë për hetime të mëtejshme. Në nëntor, gazetari Adriatik Doçi u sulmua nga </w:t>
      </w:r>
      <w:r w:rsidR="00EC226A" w:rsidRPr="006B700E">
        <w:rPr>
          <w:sz w:val="24"/>
          <w:szCs w:val="24"/>
        </w:rPr>
        <w:t>persona</w:t>
      </w:r>
      <w:r w:rsidRPr="006B700E">
        <w:rPr>
          <w:sz w:val="24"/>
          <w:szCs w:val="24"/>
        </w:rPr>
        <w:t xml:space="preserve"> të panjohur. </w:t>
      </w:r>
      <w:r w:rsidR="004D7C94" w:rsidRPr="006B700E">
        <w:rPr>
          <w:sz w:val="24"/>
          <w:szCs w:val="24"/>
        </w:rPr>
        <w:t xml:space="preserve">UGSH-ja e dënoi sulmin dhe kërkoi që të kapeshin personat përgjegjës. Policia raportoi arrestimin e një të dyshuari në lidhje me këtë çështje.   </w:t>
      </w:r>
    </w:p>
    <w:p w14:paraId="4128DEAC" w14:textId="11775846" w:rsidR="009E1169" w:rsidRPr="006B700E" w:rsidRDefault="00501BDF" w:rsidP="00501BDF">
      <w:pPr>
        <w:rPr>
          <w:sz w:val="24"/>
          <w:szCs w:val="24"/>
        </w:rPr>
      </w:pPr>
      <w:r w:rsidRPr="006B700E">
        <w:rPr>
          <w:b/>
          <w:sz w:val="24"/>
          <w:szCs w:val="24"/>
        </w:rPr>
        <w:t xml:space="preserve">Censura ose kufizimet e përmbajtjes për anëtarët e shtypit dhe mediat e tjera, përfshirë median </w:t>
      </w:r>
      <w:r w:rsidRPr="006B700E">
        <w:rPr>
          <w:b/>
          <w:i/>
          <w:iCs/>
          <w:sz w:val="24"/>
          <w:szCs w:val="24"/>
        </w:rPr>
        <w:t>online</w:t>
      </w:r>
      <w:r w:rsidRPr="006B700E">
        <w:rPr>
          <w:b/>
          <w:sz w:val="24"/>
          <w:szCs w:val="24"/>
        </w:rPr>
        <w:t>:</w:t>
      </w:r>
      <w:r w:rsidRPr="006B700E">
        <w:rPr>
          <w:sz w:val="24"/>
          <w:szCs w:val="24"/>
        </w:rPr>
        <w:t xml:space="preserve"> Gazetarët shpesh praktikuan vetëcensurimin për të shmangur dhunën dhe ngacmimet dhe për të siguruar punësimin. Barometri Kombëtar i KSHH-së për Lirinë e Medias për vitin 2021 raportoi se </w:t>
      </w:r>
      <w:r w:rsidR="009E1169" w:rsidRPr="006B700E">
        <w:rPr>
          <w:sz w:val="24"/>
          <w:szCs w:val="24"/>
        </w:rPr>
        <w:t>45.5 p</w:t>
      </w:r>
      <w:r w:rsidRPr="006B700E">
        <w:rPr>
          <w:sz w:val="24"/>
          <w:szCs w:val="24"/>
        </w:rPr>
        <w:t>ë</w:t>
      </w:r>
      <w:r w:rsidR="009E1169" w:rsidRPr="006B700E">
        <w:rPr>
          <w:sz w:val="24"/>
          <w:szCs w:val="24"/>
        </w:rPr>
        <w:t>r</w:t>
      </w:r>
      <w:r w:rsidRPr="006B700E">
        <w:rPr>
          <w:sz w:val="24"/>
          <w:szCs w:val="24"/>
        </w:rPr>
        <w:t xml:space="preserve"> qind e gazetarëve pranonin se u ishte kërkuar të botonin lajme të caktuara dhe </w:t>
      </w:r>
      <w:r w:rsidR="009E1169" w:rsidRPr="006B700E">
        <w:rPr>
          <w:sz w:val="24"/>
          <w:szCs w:val="24"/>
        </w:rPr>
        <w:t>45 p</w:t>
      </w:r>
      <w:r w:rsidRPr="006B700E">
        <w:rPr>
          <w:sz w:val="24"/>
          <w:szCs w:val="24"/>
        </w:rPr>
        <w:t>ë</w:t>
      </w:r>
      <w:r w:rsidR="009E1169" w:rsidRPr="006B700E">
        <w:rPr>
          <w:sz w:val="24"/>
          <w:szCs w:val="24"/>
        </w:rPr>
        <w:t>r</w:t>
      </w:r>
      <w:r w:rsidRPr="006B700E">
        <w:rPr>
          <w:sz w:val="24"/>
          <w:szCs w:val="24"/>
        </w:rPr>
        <w:t xml:space="preserve"> qind pranuan</w:t>
      </w:r>
      <w:r w:rsidR="00834DB9" w:rsidRPr="006B700E">
        <w:rPr>
          <w:sz w:val="24"/>
          <w:szCs w:val="24"/>
        </w:rPr>
        <w:t xml:space="preserve"> vetëcensurimin</w:t>
      </w:r>
      <w:r w:rsidR="00EC226A" w:rsidRPr="006B700E">
        <w:rPr>
          <w:sz w:val="24"/>
          <w:szCs w:val="24"/>
        </w:rPr>
        <w:t>.</w:t>
      </w:r>
    </w:p>
    <w:p w14:paraId="391A91C7" w14:textId="31306AFD" w:rsidR="00DD4AD1" w:rsidRPr="006B700E" w:rsidRDefault="00DD4AD1" w:rsidP="009E1169">
      <w:pPr>
        <w:rPr>
          <w:sz w:val="24"/>
          <w:szCs w:val="24"/>
        </w:rPr>
      </w:pPr>
      <w:r w:rsidRPr="006B700E">
        <w:rPr>
          <w:b/>
          <w:sz w:val="24"/>
          <w:szCs w:val="24"/>
        </w:rPr>
        <w:t>Ligjet për shpifjen</w:t>
      </w:r>
      <w:r w:rsidRPr="006B700E">
        <w:rPr>
          <w:sz w:val="24"/>
          <w:szCs w:val="24"/>
        </w:rPr>
        <w:t xml:space="preserve">: Kodi Penal </w:t>
      </w:r>
      <w:r w:rsidR="00EC226A" w:rsidRPr="006B700E">
        <w:rPr>
          <w:sz w:val="24"/>
          <w:szCs w:val="24"/>
        </w:rPr>
        <w:t>i S</w:t>
      </w:r>
      <w:r w:rsidRPr="006B700E">
        <w:rPr>
          <w:sz w:val="24"/>
          <w:szCs w:val="24"/>
        </w:rPr>
        <w:t>hqip</w:t>
      </w:r>
      <w:r w:rsidR="00EC226A" w:rsidRPr="006B700E">
        <w:rPr>
          <w:sz w:val="24"/>
          <w:szCs w:val="24"/>
        </w:rPr>
        <w:t>ërisë</w:t>
      </w:r>
      <w:r w:rsidRPr="006B700E">
        <w:rPr>
          <w:sz w:val="24"/>
          <w:szCs w:val="24"/>
        </w:rPr>
        <w:t xml:space="preserve"> ka ligje për shpifjen si edhe ligje kundër fyerjeve ndaj palëve private apo punonjësve të gjykatave. Shqipëria nuk ka legjislacion të veçantë apo nene që adresojnë blasfeminë. Ligji lejon palët private të ngrenë akuza penale dhe të marrin kompensim financiar për fyerje ose publikim të qëllimshëm të informacionit të pavërtetë. OJQ-të raportuan se gjobat ishin tejet të larta dhe, bashkë me regjistrimin e dënimit në të dhënat penale të të pandehurit, cenonin lirinë e shprehjes. UGSH-ja shprehu shqetësimin se, deri në muajin shtator, kishte gjashtë padi ndaj gazetarëve, kryesisht për shpifje.   </w:t>
      </w:r>
    </w:p>
    <w:p w14:paraId="2C1CC178" w14:textId="7E3635DE" w:rsidR="009E1169" w:rsidRPr="006B700E" w:rsidRDefault="00DD4AD1" w:rsidP="004E614C">
      <w:pPr>
        <w:rPr>
          <w:sz w:val="24"/>
          <w:szCs w:val="24"/>
        </w:rPr>
      </w:pPr>
      <w:r w:rsidRPr="006B700E">
        <w:rPr>
          <w:sz w:val="24"/>
          <w:szCs w:val="24"/>
        </w:rPr>
        <w:t xml:space="preserve">Në muajin qershor, ish-prokurorja </w:t>
      </w:r>
      <w:r w:rsidR="009E1169" w:rsidRPr="006B700E">
        <w:rPr>
          <w:sz w:val="24"/>
          <w:szCs w:val="24"/>
        </w:rPr>
        <w:t xml:space="preserve">Elizabeta Imeraj </w:t>
      </w:r>
      <w:r w:rsidR="004E614C" w:rsidRPr="006B700E">
        <w:rPr>
          <w:sz w:val="24"/>
          <w:szCs w:val="24"/>
        </w:rPr>
        <w:t xml:space="preserve">bëri padi penale ndaj gazetarit </w:t>
      </w:r>
      <w:r w:rsidR="009E1169" w:rsidRPr="006B700E">
        <w:rPr>
          <w:sz w:val="24"/>
          <w:szCs w:val="24"/>
        </w:rPr>
        <w:t xml:space="preserve">Isa Myzyraj </w:t>
      </w:r>
      <w:r w:rsidR="004E614C" w:rsidRPr="006B700E">
        <w:rPr>
          <w:sz w:val="24"/>
          <w:szCs w:val="24"/>
        </w:rPr>
        <w:t xml:space="preserve">për shpifje. </w:t>
      </w:r>
      <w:r w:rsidR="009E1169" w:rsidRPr="006B700E">
        <w:rPr>
          <w:sz w:val="24"/>
          <w:szCs w:val="24"/>
        </w:rPr>
        <w:t xml:space="preserve">Myzyraj </w:t>
      </w:r>
      <w:r w:rsidR="004E614C" w:rsidRPr="006B700E">
        <w:rPr>
          <w:sz w:val="24"/>
          <w:szCs w:val="24"/>
        </w:rPr>
        <w:t>raportoi se kishte marrë disa kërcënime, të cilat ai pretendonte të ishin reagim i Imerajt ndaj komenteve të tij në media sociale gjatë një procesi veting</w:t>
      </w:r>
      <w:r w:rsidR="00EC226A" w:rsidRPr="006B700E">
        <w:rPr>
          <w:sz w:val="24"/>
          <w:szCs w:val="24"/>
        </w:rPr>
        <w:t>u</w:t>
      </w:r>
      <w:r w:rsidR="004E614C" w:rsidRPr="006B700E">
        <w:rPr>
          <w:sz w:val="24"/>
          <w:szCs w:val="24"/>
        </w:rPr>
        <w:t xml:space="preserve"> që çoi në largimin e saj nga detyra </w:t>
      </w:r>
      <w:r w:rsidR="00EC226A" w:rsidRPr="006B700E">
        <w:rPr>
          <w:sz w:val="24"/>
          <w:szCs w:val="24"/>
        </w:rPr>
        <w:t>m</w:t>
      </w:r>
      <w:r w:rsidR="004E614C" w:rsidRPr="006B700E">
        <w:rPr>
          <w:sz w:val="24"/>
          <w:szCs w:val="24"/>
        </w:rPr>
        <w:t>ë 27 prill</w:t>
      </w:r>
      <w:r w:rsidR="00EC226A" w:rsidRPr="006B700E">
        <w:rPr>
          <w:sz w:val="24"/>
          <w:szCs w:val="24"/>
        </w:rPr>
        <w:t>,</w:t>
      </w:r>
      <w:r w:rsidR="004E614C" w:rsidRPr="006B700E">
        <w:rPr>
          <w:sz w:val="24"/>
          <w:szCs w:val="24"/>
        </w:rPr>
        <w:t xml:space="preserve"> pas akuzave rreth pasurisë dhe integritetit të saj. </w:t>
      </w:r>
      <w:r w:rsidR="009E1169" w:rsidRPr="006B700E">
        <w:rPr>
          <w:sz w:val="24"/>
          <w:szCs w:val="24"/>
        </w:rPr>
        <w:t>Myzyraj</w:t>
      </w:r>
      <w:r w:rsidR="004E614C" w:rsidRPr="006B700E">
        <w:rPr>
          <w:sz w:val="24"/>
          <w:szCs w:val="24"/>
        </w:rPr>
        <w:t xml:space="preserve"> deklaroi gjithashtu se kishte patur censurë dhe vetëcensurim nga kanale të tjera mediatike gjatë procesit të vetingut të </w:t>
      </w:r>
      <w:r w:rsidR="009E1169" w:rsidRPr="006B700E">
        <w:rPr>
          <w:sz w:val="24"/>
          <w:szCs w:val="24"/>
        </w:rPr>
        <w:t>Imeraj</w:t>
      </w:r>
      <w:r w:rsidR="004E614C" w:rsidRPr="006B700E">
        <w:rPr>
          <w:sz w:val="24"/>
          <w:szCs w:val="24"/>
        </w:rPr>
        <w:t>t</w:t>
      </w:r>
      <w:r w:rsidR="009E1169" w:rsidRPr="006B700E">
        <w:rPr>
          <w:sz w:val="24"/>
          <w:szCs w:val="24"/>
        </w:rPr>
        <w:t xml:space="preserve">. </w:t>
      </w:r>
      <w:r w:rsidR="004E614C" w:rsidRPr="006B700E">
        <w:rPr>
          <w:sz w:val="24"/>
          <w:szCs w:val="24"/>
        </w:rPr>
        <w:t xml:space="preserve">Në fund të vitit, çështja </w:t>
      </w:r>
      <w:r w:rsidR="00EC226A" w:rsidRPr="006B700E">
        <w:rPr>
          <w:sz w:val="24"/>
          <w:szCs w:val="24"/>
        </w:rPr>
        <w:t>ishte ende</w:t>
      </w:r>
      <w:r w:rsidR="004E614C" w:rsidRPr="006B700E">
        <w:rPr>
          <w:sz w:val="24"/>
          <w:szCs w:val="24"/>
        </w:rPr>
        <w:t xml:space="preserve"> në pritje në Gjykatën e Rrethit </w:t>
      </w:r>
      <w:r w:rsidR="004E614C" w:rsidRPr="006B700E">
        <w:rPr>
          <w:sz w:val="24"/>
          <w:szCs w:val="24"/>
        </w:rPr>
        <w:lastRenderedPageBreak/>
        <w:t xml:space="preserve">Elbasan. </w:t>
      </w:r>
    </w:p>
    <w:p w14:paraId="6636F4E7" w14:textId="16C41CFF" w:rsidR="009E1169" w:rsidRPr="006B700E" w:rsidRDefault="004E614C" w:rsidP="009E1169">
      <w:pPr>
        <w:rPr>
          <w:sz w:val="24"/>
          <w:szCs w:val="24"/>
        </w:rPr>
      </w:pPr>
      <w:r w:rsidRPr="006B700E">
        <w:rPr>
          <w:sz w:val="24"/>
          <w:szCs w:val="24"/>
        </w:rPr>
        <w:t xml:space="preserve">Qeveria tërhoqi një paketë ligjore anti-shpifje e cila ishte miratuar paraprakisht në vitin </w:t>
      </w:r>
      <w:r w:rsidR="009E1169" w:rsidRPr="006B700E">
        <w:rPr>
          <w:sz w:val="24"/>
          <w:szCs w:val="24"/>
        </w:rPr>
        <w:t>2019,</w:t>
      </w:r>
      <w:r w:rsidRPr="006B700E">
        <w:rPr>
          <w:sz w:val="24"/>
          <w:szCs w:val="24"/>
        </w:rPr>
        <w:t xml:space="preserve"> pas kritikave nga gazetarët, organizatat e medias dhe nga Komisioni i Venecias. </w:t>
      </w:r>
    </w:p>
    <w:p w14:paraId="50C61B4A" w14:textId="4C4E306F" w:rsidR="00954E66" w:rsidRPr="006B700E" w:rsidRDefault="00954E66" w:rsidP="00954E66">
      <w:pPr>
        <w:jc w:val="both"/>
        <w:rPr>
          <w:b/>
          <w:sz w:val="24"/>
          <w:szCs w:val="24"/>
        </w:rPr>
      </w:pPr>
      <w:r w:rsidRPr="006B700E">
        <w:rPr>
          <w:b/>
          <w:sz w:val="24"/>
          <w:szCs w:val="24"/>
        </w:rPr>
        <w:t xml:space="preserve">Liria në internet  </w:t>
      </w:r>
    </w:p>
    <w:p w14:paraId="5B11D261" w14:textId="77777777" w:rsidR="00954E66" w:rsidRPr="006B700E" w:rsidRDefault="00954E66" w:rsidP="00954E66">
      <w:pPr>
        <w:jc w:val="both"/>
        <w:rPr>
          <w:sz w:val="24"/>
          <w:szCs w:val="24"/>
        </w:rPr>
      </w:pPr>
      <w:r w:rsidRPr="006B700E">
        <w:rPr>
          <w:sz w:val="24"/>
          <w:szCs w:val="24"/>
        </w:rPr>
        <w:t xml:space="preserve">Qeveria nuk e kufizoi dhe nuk e ndërpreu mundësinë e shfrytëzimit të internetit, as nuk e censuroi përmbajtjen </w:t>
      </w:r>
      <w:r w:rsidRPr="006B700E">
        <w:rPr>
          <w:i/>
          <w:sz w:val="24"/>
          <w:szCs w:val="24"/>
        </w:rPr>
        <w:t>online</w:t>
      </w:r>
      <w:r w:rsidRPr="006B700E">
        <w:rPr>
          <w:sz w:val="24"/>
          <w:szCs w:val="24"/>
        </w:rPr>
        <w:t xml:space="preserve">. Nuk pati raportime të besueshme që qeveria të ketë monitoruar komunikimet private </w:t>
      </w:r>
      <w:r w:rsidRPr="006B700E">
        <w:rPr>
          <w:i/>
          <w:sz w:val="24"/>
          <w:szCs w:val="24"/>
        </w:rPr>
        <w:t>online</w:t>
      </w:r>
      <w:r w:rsidRPr="006B700E">
        <w:rPr>
          <w:sz w:val="24"/>
          <w:szCs w:val="24"/>
        </w:rPr>
        <w:t xml:space="preserve"> pa autoritetin e duhur ligjor për ta bërë këtë. </w:t>
      </w:r>
    </w:p>
    <w:p w14:paraId="4D1FDEB3" w14:textId="77777777" w:rsidR="00954E66" w:rsidRPr="006B700E" w:rsidRDefault="00954E66" w:rsidP="00954E66">
      <w:pPr>
        <w:jc w:val="both"/>
      </w:pPr>
      <w:r w:rsidRPr="006B700E">
        <w:rPr>
          <w:b/>
        </w:rPr>
        <w:t xml:space="preserve">b. Liria për grumbullimin paqësor dhe formimin e shoqatave </w:t>
      </w:r>
    </w:p>
    <w:p w14:paraId="5AAF4B4C" w14:textId="77777777" w:rsidR="00954E66" w:rsidRPr="006B700E" w:rsidRDefault="00954E66" w:rsidP="00954E66">
      <w:pPr>
        <w:jc w:val="both"/>
        <w:rPr>
          <w:sz w:val="24"/>
          <w:szCs w:val="24"/>
        </w:rPr>
      </w:pPr>
      <w:r w:rsidRPr="006B700E">
        <w:rPr>
          <w:sz w:val="24"/>
          <w:szCs w:val="24"/>
        </w:rPr>
        <w:t xml:space="preserve">Kushtetuta dhe ligji garantojnë liritë e grumbullimit paqësor dhe grupimit në shoqata dhe qeveria në përgjithësi i respektoi këto të drejta. </w:t>
      </w:r>
    </w:p>
    <w:p w14:paraId="23E7698D" w14:textId="1F50674D" w:rsidR="009E1169" w:rsidRPr="006B700E" w:rsidRDefault="00954E66" w:rsidP="009E1169">
      <w:pPr>
        <w:rPr>
          <w:sz w:val="24"/>
          <w:szCs w:val="24"/>
        </w:rPr>
      </w:pPr>
      <w:r w:rsidRPr="006B700E">
        <w:rPr>
          <w:b/>
          <w:bCs/>
          <w:sz w:val="24"/>
          <w:szCs w:val="24"/>
        </w:rPr>
        <w:t>Liria për grumbullimin paqësor</w:t>
      </w:r>
      <w:r w:rsidR="009E1169" w:rsidRPr="006B700E">
        <w:rPr>
          <w:b/>
          <w:bCs/>
          <w:sz w:val="24"/>
          <w:szCs w:val="24"/>
        </w:rPr>
        <w:t>:</w:t>
      </w:r>
      <w:r w:rsidR="009E1169" w:rsidRPr="006B700E">
        <w:rPr>
          <w:sz w:val="24"/>
          <w:szCs w:val="24"/>
        </w:rPr>
        <w:t xml:space="preserve"> </w:t>
      </w:r>
      <w:r w:rsidRPr="006B700E">
        <w:rPr>
          <w:sz w:val="24"/>
          <w:szCs w:val="24"/>
        </w:rPr>
        <w:t xml:space="preserve">Kushtetuta dhe ligji në Shqipëri garantojnë lirinë për grumbullim paqësor dhe grupim në shoqata. Qeveria në përgjithësi i respektoi këto të drejta. Megjithatë, në muajin mars, gjatë protestave kundër rritjes së çmimeve, policia arrestoi </w:t>
      </w:r>
      <w:r w:rsidR="009E1169" w:rsidRPr="006B700E">
        <w:rPr>
          <w:sz w:val="24"/>
          <w:szCs w:val="24"/>
        </w:rPr>
        <w:t>50 demonstr</w:t>
      </w:r>
      <w:r w:rsidRPr="006B700E">
        <w:rPr>
          <w:sz w:val="24"/>
          <w:szCs w:val="24"/>
        </w:rPr>
        <w:t xml:space="preserve">ues dhe akuzoi </w:t>
      </w:r>
      <w:r w:rsidR="009E1169" w:rsidRPr="006B700E">
        <w:rPr>
          <w:sz w:val="24"/>
          <w:szCs w:val="24"/>
        </w:rPr>
        <w:t xml:space="preserve">150 </w:t>
      </w:r>
      <w:r w:rsidRPr="006B700E">
        <w:rPr>
          <w:sz w:val="24"/>
          <w:szCs w:val="24"/>
        </w:rPr>
        <w:t xml:space="preserve">të tjerë për protestim të paligjshëm. Mbulimet mediatike </w:t>
      </w:r>
      <w:r w:rsidR="002E31B0" w:rsidRPr="006B700E">
        <w:rPr>
          <w:sz w:val="24"/>
          <w:szCs w:val="24"/>
        </w:rPr>
        <w:t>shfaqën</w:t>
      </w:r>
      <w:r w:rsidRPr="006B700E">
        <w:rPr>
          <w:sz w:val="24"/>
          <w:szCs w:val="24"/>
        </w:rPr>
        <w:t xml:space="preserve"> individë me dhe pa uniformë që shtynin protestuesit brenda </w:t>
      </w:r>
      <w:r w:rsidR="00C269D1" w:rsidRPr="006B700E">
        <w:rPr>
          <w:sz w:val="24"/>
          <w:szCs w:val="24"/>
        </w:rPr>
        <w:t>makinave</w:t>
      </w:r>
      <w:r w:rsidRPr="006B700E">
        <w:rPr>
          <w:sz w:val="24"/>
          <w:szCs w:val="24"/>
        </w:rPr>
        <w:t xml:space="preserve"> të policisë</w:t>
      </w:r>
      <w:r w:rsidR="00C269D1" w:rsidRPr="006B700E">
        <w:rPr>
          <w:sz w:val="24"/>
          <w:szCs w:val="24"/>
        </w:rPr>
        <w:t xml:space="preserve">. </w:t>
      </w:r>
      <w:r w:rsidR="009E1169" w:rsidRPr="006B700E">
        <w:rPr>
          <w:sz w:val="24"/>
          <w:szCs w:val="24"/>
        </w:rPr>
        <w:t>Media r</w:t>
      </w:r>
      <w:r w:rsidR="002E31B0" w:rsidRPr="006B700E">
        <w:rPr>
          <w:sz w:val="24"/>
          <w:szCs w:val="24"/>
        </w:rPr>
        <w:t>a</w:t>
      </w:r>
      <w:r w:rsidR="009E1169" w:rsidRPr="006B700E">
        <w:rPr>
          <w:sz w:val="24"/>
          <w:szCs w:val="24"/>
        </w:rPr>
        <w:t>port</w:t>
      </w:r>
      <w:r w:rsidR="00C269D1" w:rsidRPr="006B700E">
        <w:rPr>
          <w:sz w:val="24"/>
          <w:szCs w:val="24"/>
        </w:rPr>
        <w:t>oi</w:t>
      </w:r>
      <w:r w:rsidR="009E1169" w:rsidRPr="006B700E">
        <w:rPr>
          <w:sz w:val="24"/>
          <w:szCs w:val="24"/>
        </w:rPr>
        <w:t xml:space="preserve"> </w:t>
      </w:r>
      <w:r w:rsidR="00C269D1" w:rsidRPr="006B700E">
        <w:rPr>
          <w:sz w:val="24"/>
          <w:szCs w:val="24"/>
        </w:rPr>
        <w:t xml:space="preserve">se </w:t>
      </w:r>
      <w:r w:rsidR="009E1169" w:rsidRPr="006B700E">
        <w:rPr>
          <w:sz w:val="24"/>
          <w:szCs w:val="24"/>
        </w:rPr>
        <w:t>34 protest</w:t>
      </w:r>
      <w:r w:rsidR="00C269D1" w:rsidRPr="006B700E">
        <w:rPr>
          <w:sz w:val="24"/>
          <w:szCs w:val="24"/>
        </w:rPr>
        <w:t>u</w:t>
      </w:r>
      <w:r w:rsidR="009E1169" w:rsidRPr="006B700E">
        <w:rPr>
          <w:sz w:val="24"/>
          <w:szCs w:val="24"/>
        </w:rPr>
        <w:t xml:space="preserve">es </w:t>
      </w:r>
      <w:r w:rsidR="00C269D1" w:rsidRPr="006B700E">
        <w:rPr>
          <w:sz w:val="24"/>
          <w:szCs w:val="24"/>
        </w:rPr>
        <w:t xml:space="preserve">më pas u liruan nga gjykata pas përcaktimit se arrestimet kishin qenë të parregullta. Avokati i Popullit dhe organizata të shoqërisë civile ngritën shqetësime publikisht për ndalimin e protestuesve paqësorë. </w:t>
      </w:r>
    </w:p>
    <w:p w14:paraId="744C08E7" w14:textId="77777777" w:rsidR="00C269D1" w:rsidRPr="006B700E" w:rsidRDefault="00C269D1" w:rsidP="00C269D1">
      <w:pPr>
        <w:jc w:val="both"/>
      </w:pPr>
      <w:r w:rsidRPr="006B700E">
        <w:rPr>
          <w:b/>
        </w:rPr>
        <w:t xml:space="preserve">c. Liria e fesë </w:t>
      </w:r>
      <w:r w:rsidRPr="006B700E">
        <w:t xml:space="preserve"> </w:t>
      </w:r>
    </w:p>
    <w:p w14:paraId="6013EC2D" w14:textId="27BDA69E" w:rsidR="009E1169" w:rsidRPr="006B700E" w:rsidRDefault="00C269D1" w:rsidP="00C269D1">
      <w:pPr>
        <w:rPr>
          <w:sz w:val="24"/>
          <w:szCs w:val="24"/>
        </w:rPr>
      </w:pPr>
      <w:r w:rsidRPr="006B700E">
        <w:rPr>
          <w:sz w:val="24"/>
          <w:szCs w:val="24"/>
        </w:rPr>
        <w:t xml:space="preserve">Shikoni </w:t>
      </w:r>
      <w:r w:rsidRPr="006B700E">
        <w:rPr>
          <w:i/>
          <w:sz w:val="24"/>
          <w:szCs w:val="24"/>
        </w:rPr>
        <w:t>Raportin Ndërkombëtar për Lirinë e Fesë</w:t>
      </w:r>
      <w:r w:rsidRPr="006B700E">
        <w:rPr>
          <w:sz w:val="24"/>
          <w:szCs w:val="24"/>
        </w:rPr>
        <w:t xml:space="preserve"> nga Departamenti i Shtetit në faqen:</w:t>
      </w:r>
      <w:r w:rsidR="009E1169" w:rsidRPr="006B700E">
        <w:rPr>
          <w:sz w:val="24"/>
          <w:szCs w:val="24"/>
        </w:rPr>
        <w:t xml:space="preserve"> </w:t>
      </w:r>
      <w:hyperlink r:id="rId8">
        <w:r w:rsidR="009E1169" w:rsidRPr="006B700E">
          <w:rPr>
            <w:rStyle w:val="Hyperlink"/>
            <w:sz w:val="24"/>
            <w:szCs w:val="24"/>
          </w:rPr>
          <w:t>https://www.state.gov/religiousfreedomreport/</w:t>
        </w:r>
      </w:hyperlink>
      <w:r w:rsidR="009E1169" w:rsidRPr="006B700E">
        <w:rPr>
          <w:sz w:val="24"/>
          <w:szCs w:val="24"/>
        </w:rPr>
        <w:t>.</w:t>
      </w:r>
    </w:p>
    <w:p w14:paraId="5E4D1D91" w14:textId="77777777" w:rsidR="00A823E0" w:rsidRPr="006B700E" w:rsidRDefault="00A823E0" w:rsidP="00A823E0">
      <w:pPr>
        <w:jc w:val="both"/>
      </w:pPr>
      <w:r w:rsidRPr="006B700E">
        <w:rPr>
          <w:b/>
        </w:rPr>
        <w:t xml:space="preserve">d. Liria e lëvizjes dhe e drejta për t’u larguar nga vendi  </w:t>
      </w:r>
      <w:r w:rsidRPr="006B700E">
        <w:t xml:space="preserve"> </w:t>
      </w:r>
    </w:p>
    <w:p w14:paraId="45BF7DE2" w14:textId="4F74350B" w:rsidR="00A823E0" w:rsidRPr="006B700E" w:rsidRDefault="00A823E0" w:rsidP="00A823E0">
      <w:pPr>
        <w:rPr>
          <w:sz w:val="24"/>
          <w:szCs w:val="24"/>
        </w:rPr>
      </w:pPr>
      <w:r w:rsidRPr="006B700E">
        <w:rPr>
          <w:sz w:val="24"/>
          <w:szCs w:val="24"/>
        </w:rPr>
        <w:t>Kushtetuta dhe ligji garantojnë lirinë e lëvizjes së brendshme, udhëtimeve jashtë vendit, emigracionin dhe riatdhesimin, e në përgjithësi qeveria i respektoi këto të drejta.</w:t>
      </w:r>
    </w:p>
    <w:p w14:paraId="5DF18C68" w14:textId="0963AD5B" w:rsidR="00A823E0" w:rsidRPr="006B700E" w:rsidRDefault="00A823E0" w:rsidP="00A823E0">
      <w:pPr>
        <w:jc w:val="both"/>
        <w:rPr>
          <w:sz w:val="24"/>
          <w:szCs w:val="24"/>
        </w:rPr>
      </w:pPr>
      <w:r w:rsidRPr="006B700E">
        <w:rPr>
          <w:b/>
          <w:sz w:val="24"/>
          <w:szCs w:val="24"/>
        </w:rPr>
        <w:t>Lëvizja brenda vendit:</w:t>
      </w:r>
      <w:r w:rsidRPr="006B700E">
        <w:rPr>
          <w:sz w:val="24"/>
          <w:szCs w:val="24"/>
        </w:rPr>
        <w:t xml:space="preserve"> Për të përfituar shërbimet shtetërore, individët që ndryshojnë </w:t>
      </w:r>
      <w:r w:rsidRPr="006B700E">
        <w:rPr>
          <w:sz w:val="24"/>
          <w:szCs w:val="24"/>
        </w:rPr>
        <w:lastRenderedPageBreak/>
        <w:t>vendbanimin brenda vendit duhet të transferojnë gjendjen civile në komunitetin e ri ku vendosen dhe duhet të provojnë ligjshmërinë e banesës së re nëpërmjet dokumentit të pronësisë, një kontrate qiramarrjeje të banesës, ose faturave të ujit dhe të dritave. Shumë individë nuk mund</w:t>
      </w:r>
      <w:r w:rsidR="002E31B0" w:rsidRPr="006B700E">
        <w:rPr>
          <w:sz w:val="24"/>
          <w:szCs w:val="24"/>
        </w:rPr>
        <w:t>ën</w:t>
      </w:r>
      <w:r w:rsidRPr="006B700E">
        <w:rPr>
          <w:sz w:val="24"/>
          <w:szCs w:val="24"/>
        </w:rPr>
        <w:t xml:space="preserve"> të siguronin provë banese dhe si rrjedhojë nuk patën mundësi të shfrytëzonin shërbimet publike. Qytetarë të tjerë, në veçanti të komuniteteve rome dhe egjiptiane-ballkanike, nuk ishin të regjistruar formalisht në komunitetet ku banonin. Ligji nuk e ndalon regjistrimin e tyre, por ky </w:t>
      </w:r>
      <w:r w:rsidR="00C55A53" w:rsidRPr="006B700E">
        <w:rPr>
          <w:sz w:val="24"/>
          <w:szCs w:val="24"/>
        </w:rPr>
        <w:t xml:space="preserve">proces </w:t>
      </w:r>
      <w:r w:rsidRPr="006B700E">
        <w:rPr>
          <w:sz w:val="24"/>
          <w:szCs w:val="24"/>
        </w:rPr>
        <w:t>shpesh ishte i vështirë për t’u realizuar. Shumë romë dhe egjiptian</w:t>
      </w:r>
      <w:r w:rsidR="002E31B0" w:rsidRPr="006B700E">
        <w:rPr>
          <w:sz w:val="24"/>
          <w:szCs w:val="24"/>
        </w:rPr>
        <w:t>ë</w:t>
      </w:r>
      <w:r w:rsidRPr="006B700E">
        <w:rPr>
          <w:sz w:val="24"/>
          <w:szCs w:val="24"/>
        </w:rPr>
        <w:t xml:space="preserve">-ballkanas nuk patën mundësitë financiare apo informacionin e domosdoshëm për t’u regjistruar. </w:t>
      </w:r>
    </w:p>
    <w:p w14:paraId="688F310F" w14:textId="77777777" w:rsidR="00C55A53" w:rsidRPr="006B700E" w:rsidRDefault="00C55A53" w:rsidP="00C55A53">
      <w:pPr>
        <w:jc w:val="both"/>
      </w:pPr>
      <w:r w:rsidRPr="006B700E">
        <w:rPr>
          <w:b/>
        </w:rPr>
        <w:t xml:space="preserve">f. Mbrojtja e refugjatëve </w:t>
      </w:r>
      <w:r w:rsidRPr="006B700E">
        <w:t xml:space="preserve"> </w:t>
      </w:r>
    </w:p>
    <w:p w14:paraId="5859F294" w14:textId="4FFE3CDF" w:rsidR="00C55A53" w:rsidRPr="006B700E" w:rsidRDefault="00C55A53" w:rsidP="00C55A53">
      <w:pPr>
        <w:jc w:val="both"/>
        <w:rPr>
          <w:sz w:val="24"/>
          <w:szCs w:val="24"/>
        </w:rPr>
      </w:pPr>
      <w:r w:rsidRPr="006B700E">
        <w:rPr>
          <w:sz w:val="24"/>
          <w:szCs w:val="24"/>
        </w:rPr>
        <w:t xml:space="preserve">Qeveria bashkëpunoi me Zyrën e Komisionerit të Lartë të Kombeve të Bashkuara për Refugjatët (UNHCR) dhe organizata të tjera humanitare për të siguruar mbrojtje dhe asistencë për refugjatët,  refugjatët e kthyer ose azilkërkuesit, si edhe persona të tjerë në nevojë.  </w:t>
      </w:r>
    </w:p>
    <w:p w14:paraId="2BEDD151" w14:textId="6C77DFD7" w:rsidR="009E1169" w:rsidRPr="006B700E" w:rsidRDefault="00FF6577" w:rsidP="00FF6577">
      <w:pPr>
        <w:rPr>
          <w:b/>
          <w:color w:val="000000" w:themeColor="text1"/>
          <w:sz w:val="24"/>
          <w:szCs w:val="24"/>
        </w:rPr>
      </w:pPr>
      <w:r w:rsidRPr="006B700E">
        <w:rPr>
          <w:sz w:val="24"/>
          <w:szCs w:val="24"/>
        </w:rPr>
        <w:t xml:space="preserve">Në vitin 2021 qeveria filloi të pranonte afganët e evakuuar në kërkim të mbrojtjes pas ndryshimit të qeverisë së Afganistanit. Për afganët e strehuar në vend vazhdoi statusi i mbrojtjes së përkohshme. Që nga gushti i vitit 2021, qeveria u ka dhënë status mbrojtjeje të përkohshme mbi </w:t>
      </w:r>
      <w:r w:rsidR="009E1169" w:rsidRPr="006B700E">
        <w:rPr>
          <w:sz w:val="24"/>
          <w:szCs w:val="24"/>
        </w:rPr>
        <w:t>2</w:t>
      </w:r>
      <w:r w:rsidRPr="006B700E">
        <w:rPr>
          <w:sz w:val="24"/>
          <w:szCs w:val="24"/>
        </w:rPr>
        <w:t xml:space="preserve"> </w:t>
      </w:r>
      <w:r w:rsidR="009E1169" w:rsidRPr="006B700E">
        <w:rPr>
          <w:sz w:val="24"/>
          <w:szCs w:val="24"/>
        </w:rPr>
        <w:t xml:space="preserve">800 </w:t>
      </w:r>
      <w:r w:rsidRPr="006B700E">
        <w:rPr>
          <w:color w:val="000000" w:themeColor="text1"/>
          <w:sz w:val="24"/>
          <w:szCs w:val="24"/>
        </w:rPr>
        <w:t>a</w:t>
      </w:r>
      <w:r w:rsidR="009E1169" w:rsidRPr="006B700E">
        <w:rPr>
          <w:color w:val="000000" w:themeColor="text1"/>
          <w:sz w:val="24"/>
          <w:szCs w:val="24"/>
        </w:rPr>
        <w:t>fgan</w:t>
      </w:r>
      <w:r w:rsidRPr="006B700E">
        <w:rPr>
          <w:color w:val="000000" w:themeColor="text1"/>
          <w:sz w:val="24"/>
          <w:szCs w:val="24"/>
        </w:rPr>
        <w:t xml:space="preserve">ëve. </w:t>
      </w:r>
    </w:p>
    <w:p w14:paraId="5D83DDD3" w14:textId="23821109" w:rsidR="009E1169" w:rsidRPr="006B700E" w:rsidRDefault="00EF38F3" w:rsidP="009E1169">
      <w:pPr>
        <w:rPr>
          <w:b/>
          <w:sz w:val="24"/>
          <w:szCs w:val="24"/>
        </w:rPr>
      </w:pPr>
      <w:r w:rsidRPr="006B700E">
        <w:rPr>
          <w:sz w:val="24"/>
          <w:szCs w:val="24"/>
        </w:rPr>
        <w:t xml:space="preserve">Qeveria ka siguruar status mbrojtjeje të përkohshme për ukrainasit e rrezikuar të cilët kanë hyrë në vend. </w:t>
      </w:r>
      <w:r w:rsidR="009E1169" w:rsidRPr="006B700E">
        <w:rPr>
          <w:sz w:val="24"/>
          <w:szCs w:val="24"/>
        </w:rPr>
        <w:t>UNHCR</w:t>
      </w:r>
      <w:r w:rsidRPr="006B700E">
        <w:rPr>
          <w:sz w:val="24"/>
          <w:szCs w:val="24"/>
        </w:rPr>
        <w:t xml:space="preserve">-ja </w:t>
      </w:r>
      <w:r w:rsidR="009E1169" w:rsidRPr="006B700E">
        <w:rPr>
          <w:sz w:val="24"/>
          <w:szCs w:val="24"/>
        </w:rPr>
        <w:t>r</w:t>
      </w:r>
      <w:r w:rsidRPr="006B700E">
        <w:rPr>
          <w:sz w:val="24"/>
          <w:szCs w:val="24"/>
        </w:rPr>
        <w:t>a</w:t>
      </w:r>
      <w:r w:rsidR="009E1169" w:rsidRPr="006B700E">
        <w:rPr>
          <w:sz w:val="24"/>
          <w:szCs w:val="24"/>
        </w:rPr>
        <w:t>port</w:t>
      </w:r>
      <w:r w:rsidRPr="006B700E">
        <w:rPr>
          <w:sz w:val="24"/>
          <w:szCs w:val="24"/>
        </w:rPr>
        <w:t>oi se</w:t>
      </w:r>
      <w:r w:rsidR="009E1169" w:rsidRPr="006B700E">
        <w:rPr>
          <w:sz w:val="24"/>
          <w:szCs w:val="24"/>
        </w:rPr>
        <w:t xml:space="preserve"> 2</w:t>
      </w:r>
      <w:r w:rsidRPr="006B700E">
        <w:rPr>
          <w:sz w:val="24"/>
          <w:szCs w:val="24"/>
        </w:rPr>
        <w:t xml:space="preserve"> </w:t>
      </w:r>
      <w:r w:rsidR="009E1169" w:rsidRPr="006B700E">
        <w:rPr>
          <w:sz w:val="24"/>
          <w:szCs w:val="24"/>
        </w:rPr>
        <w:t xml:space="preserve">780 </w:t>
      </w:r>
      <w:r w:rsidRPr="006B700E">
        <w:rPr>
          <w:sz w:val="24"/>
          <w:szCs w:val="24"/>
        </w:rPr>
        <w:t>u</w:t>
      </w:r>
      <w:r w:rsidR="009E1169" w:rsidRPr="006B700E">
        <w:rPr>
          <w:sz w:val="24"/>
          <w:szCs w:val="24"/>
        </w:rPr>
        <w:t xml:space="preserve">krainas </w:t>
      </w:r>
      <w:r w:rsidRPr="006B700E">
        <w:rPr>
          <w:sz w:val="24"/>
          <w:szCs w:val="24"/>
        </w:rPr>
        <w:t>hynë në vend, megjithëse asnjë prej tyre nuk kërkoi azil.</w:t>
      </w:r>
    </w:p>
    <w:p w14:paraId="3749140D" w14:textId="5B54A955" w:rsidR="005226C4" w:rsidRPr="006B700E" w:rsidRDefault="005226C4" w:rsidP="009E1169">
      <w:pPr>
        <w:rPr>
          <w:rFonts w:eastAsia="MS Mincho"/>
          <w:sz w:val="24"/>
          <w:szCs w:val="24"/>
        </w:rPr>
      </w:pPr>
      <w:r w:rsidRPr="006B700E">
        <w:rPr>
          <w:rFonts w:eastAsia="MS Mincho"/>
          <w:sz w:val="24"/>
          <w:szCs w:val="24"/>
        </w:rPr>
        <w:t>OJQ-të “</w:t>
      </w:r>
      <w:r w:rsidR="009E1169" w:rsidRPr="006B700E">
        <w:rPr>
          <w:rFonts w:eastAsia="MS Mincho"/>
          <w:sz w:val="24"/>
          <w:szCs w:val="24"/>
        </w:rPr>
        <w:t>Terre des Hommes</w:t>
      </w:r>
      <w:r w:rsidRPr="006B700E">
        <w:rPr>
          <w:rFonts w:eastAsia="MS Mincho"/>
          <w:sz w:val="24"/>
          <w:szCs w:val="24"/>
        </w:rPr>
        <w:t>” dhe</w:t>
      </w:r>
      <w:r w:rsidR="009E1169" w:rsidRPr="006B700E">
        <w:rPr>
          <w:rFonts w:eastAsia="MS Mincho"/>
          <w:sz w:val="24"/>
          <w:szCs w:val="24"/>
        </w:rPr>
        <w:t xml:space="preserve"> </w:t>
      </w:r>
      <w:r w:rsidRPr="006B700E">
        <w:rPr>
          <w:rFonts w:eastAsia="MS Mincho"/>
          <w:sz w:val="24"/>
          <w:szCs w:val="24"/>
        </w:rPr>
        <w:t>“</w:t>
      </w:r>
      <w:r w:rsidR="009E1169" w:rsidRPr="006B700E">
        <w:rPr>
          <w:rFonts w:eastAsia="MS Mincho"/>
          <w:sz w:val="24"/>
          <w:szCs w:val="24"/>
        </w:rPr>
        <w:t>Nisma ARSIS</w:t>
      </w:r>
      <w:r w:rsidRPr="006B700E">
        <w:rPr>
          <w:rFonts w:eastAsia="MS Mincho"/>
          <w:sz w:val="24"/>
          <w:szCs w:val="24"/>
        </w:rPr>
        <w:t>”</w:t>
      </w:r>
      <w:r w:rsidR="009E1169" w:rsidRPr="006B700E">
        <w:rPr>
          <w:rFonts w:eastAsia="MS Mincho"/>
          <w:sz w:val="24"/>
          <w:szCs w:val="24"/>
        </w:rPr>
        <w:t xml:space="preserve"> </w:t>
      </w:r>
      <w:r w:rsidRPr="006B700E">
        <w:rPr>
          <w:rFonts w:eastAsia="MS Mincho"/>
          <w:sz w:val="24"/>
          <w:szCs w:val="24"/>
        </w:rPr>
        <w:t xml:space="preserve">pohuan se vendi po bëhej gjithmonë e më shumë rrugë tranzit për fëmijët e pashoqëruar dhe të ndarë që </w:t>
      </w:r>
      <w:r w:rsidR="002E31B0" w:rsidRPr="006B700E">
        <w:rPr>
          <w:rFonts w:eastAsia="MS Mincho"/>
          <w:sz w:val="24"/>
          <w:szCs w:val="24"/>
        </w:rPr>
        <w:t xml:space="preserve">ishin larguar </w:t>
      </w:r>
      <w:r w:rsidRPr="006B700E">
        <w:rPr>
          <w:rFonts w:eastAsia="MS Mincho"/>
          <w:sz w:val="24"/>
          <w:szCs w:val="24"/>
        </w:rPr>
        <w:t xml:space="preserve">nga </w:t>
      </w:r>
      <w:r w:rsidR="00504D46" w:rsidRPr="006B700E">
        <w:rPr>
          <w:rFonts w:eastAsia="MS Mincho"/>
          <w:sz w:val="24"/>
          <w:szCs w:val="24"/>
        </w:rPr>
        <w:t xml:space="preserve">gjendjet </w:t>
      </w:r>
      <w:r w:rsidRPr="006B700E">
        <w:rPr>
          <w:rFonts w:eastAsia="MS Mincho"/>
          <w:sz w:val="24"/>
          <w:szCs w:val="24"/>
        </w:rPr>
        <w:t>emergjen</w:t>
      </w:r>
      <w:r w:rsidR="00504D46" w:rsidRPr="006B700E">
        <w:rPr>
          <w:rFonts w:eastAsia="MS Mincho"/>
          <w:sz w:val="24"/>
          <w:szCs w:val="24"/>
        </w:rPr>
        <w:t>te</w:t>
      </w:r>
      <w:r w:rsidRPr="006B700E">
        <w:rPr>
          <w:rFonts w:eastAsia="MS Mincho"/>
          <w:sz w:val="24"/>
          <w:szCs w:val="24"/>
        </w:rPr>
        <w:t xml:space="preserve"> dhe që kishin nevojë për ndihmë humanitare. “</w:t>
      </w:r>
      <w:r w:rsidR="009E1169" w:rsidRPr="006B700E">
        <w:rPr>
          <w:rFonts w:eastAsia="MS Mincho"/>
          <w:sz w:val="24"/>
          <w:szCs w:val="24"/>
        </w:rPr>
        <w:t>Nisma ARSIS</w:t>
      </w:r>
      <w:r w:rsidRPr="006B700E">
        <w:rPr>
          <w:rFonts w:eastAsia="MS Mincho"/>
          <w:sz w:val="24"/>
          <w:szCs w:val="24"/>
        </w:rPr>
        <w:t xml:space="preserve">” mbështeti </w:t>
      </w:r>
      <w:r w:rsidR="009E1169" w:rsidRPr="006B700E">
        <w:rPr>
          <w:rFonts w:eastAsia="MS Mincho"/>
          <w:sz w:val="24"/>
          <w:szCs w:val="24"/>
        </w:rPr>
        <w:t xml:space="preserve">69 </w:t>
      </w:r>
      <w:r w:rsidRPr="006B700E">
        <w:rPr>
          <w:rFonts w:eastAsia="MS Mincho"/>
          <w:sz w:val="24"/>
          <w:szCs w:val="24"/>
        </w:rPr>
        <w:t>fëmijë të huaj të pashoqëruar</w:t>
      </w:r>
      <w:r w:rsidR="00504D46" w:rsidRPr="006B700E">
        <w:rPr>
          <w:rFonts w:eastAsia="MS Mincho"/>
          <w:sz w:val="24"/>
          <w:szCs w:val="24"/>
        </w:rPr>
        <w:t>,</w:t>
      </w:r>
      <w:r w:rsidRPr="006B700E">
        <w:rPr>
          <w:rFonts w:eastAsia="MS Mincho"/>
          <w:sz w:val="24"/>
          <w:szCs w:val="24"/>
        </w:rPr>
        <w:t xml:space="preserve"> të identifikuar në kufirin shqiptaro-grek.</w:t>
      </w:r>
      <w:r w:rsidR="009E1169" w:rsidRPr="006B700E">
        <w:rPr>
          <w:rFonts w:eastAsia="MS Mincho"/>
          <w:sz w:val="24"/>
          <w:szCs w:val="24"/>
        </w:rPr>
        <w:t xml:space="preserve"> </w:t>
      </w:r>
      <w:r w:rsidRPr="006B700E">
        <w:rPr>
          <w:rFonts w:eastAsia="MS Mincho"/>
          <w:sz w:val="24"/>
          <w:szCs w:val="24"/>
        </w:rPr>
        <w:t>OJQ-të raportuan se qeveria nuk kishte përvojë dhe burime për të siguruar mbështetjen e duhur për të miturit e pashoqëruar që mbërrinin në vend</w:t>
      </w:r>
      <w:r w:rsidR="00504D46" w:rsidRPr="006B700E">
        <w:rPr>
          <w:rFonts w:eastAsia="MS Mincho"/>
          <w:sz w:val="24"/>
          <w:szCs w:val="24"/>
        </w:rPr>
        <w:t>,</w:t>
      </w:r>
      <w:r w:rsidRPr="006B700E">
        <w:rPr>
          <w:rFonts w:eastAsia="MS Mincho"/>
          <w:sz w:val="24"/>
          <w:szCs w:val="24"/>
        </w:rPr>
        <w:t xml:space="preserve"> </w:t>
      </w:r>
      <w:r w:rsidR="004A5C0B" w:rsidRPr="006B700E">
        <w:rPr>
          <w:rFonts w:eastAsia="MS Mincho"/>
          <w:sz w:val="24"/>
          <w:szCs w:val="24"/>
        </w:rPr>
        <w:t xml:space="preserve">përfshirë kujdestarinë, strehimin e sigurt dhe shërbimet e duhura të kujdesit për vlerësim, trajtim dhe ribashkim familjar. </w:t>
      </w:r>
    </w:p>
    <w:p w14:paraId="3E04D585" w14:textId="77777777" w:rsidR="000C0C71" w:rsidRPr="006B700E" w:rsidRDefault="000C0C71" w:rsidP="000C0C71">
      <w:pPr>
        <w:spacing w:after="0"/>
        <w:jc w:val="both"/>
        <w:rPr>
          <w:sz w:val="24"/>
          <w:szCs w:val="24"/>
        </w:rPr>
      </w:pPr>
      <w:r w:rsidRPr="006B700E">
        <w:rPr>
          <w:b/>
          <w:sz w:val="24"/>
          <w:szCs w:val="24"/>
        </w:rPr>
        <w:t>Mundësia për azil:</w:t>
      </w:r>
      <w:r w:rsidRPr="006B700E">
        <w:rPr>
          <w:sz w:val="24"/>
          <w:szCs w:val="24"/>
        </w:rPr>
        <w:t xml:space="preserve"> Ligji parashikon dhënien e azilit ose të statusit refugjat dhe qeveria ka ngritur një sistem për sigurimin e mbrojtjes për refugjatët. </w:t>
      </w:r>
    </w:p>
    <w:p w14:paraId="5FBF145A" w14:textId="3F7EE1DA" w:rsidR="000C0C71" w:rsidRPr="006B700E" w:rsidRDefault="000C0C71" w:rsidP="009E1169">
      <w:pPr>
        <w:rPr>
          <w:sz w:val="24"/>
          <w:szCs w:val="24"/>
        </w:rPr>
      </w:pPr>
      <w:r w:rsidRPr="006B700E">
        <w:rPr>
          <w:sz w:val="24"/>
          <w:szCs w:val="24"/>
        </w:rPr>
        <w:t xml:space="preserve">Në muajin prill, Komiteti Shqiptar i Helsinkit i dërgoi një letër të hapur Ministrisë së Brendshme </w:t>
      </w:r>
      <w:r w:rsidRPr="006B700E">
        <w:rPr>
          <w:sz w:val="24"/>
          <w:szCs w:val="24"/>
        </w:rPr>
        <w:lastRenderedPageBreak/>
        <w:t xml:space="preserve">në lidhje me </w:t>
      </w:r>
      <w:r w:rsidR="00504D46" w:rsidRPr="006B700E">
        <w:rPr>
          <w:sz w:val="24"/>
          <w:szCs w:val="24"/>
        </w:rPr>
        <w:t>përjashtimin</w:t>
      </w:r>
      <w:r w:rsidRPr="006B700E">
        <w:rPr>
          <w:sz w:val="24"/>
          <w:szCs w:val="24"/>
        </w:rPr>
        <w:t xml:space="preserve"> e KSHH-së nga anëtarësia e Komisionit Kombëtar për Azilin dhe Refugjatët </w:t>
      </w:r>
      <w:r w:rsidR="00504D46" w:rsidRPr="006B700E">
        <w:rPr>
          <w:sz w:val="24"/>
          <w:szCs w:val="24"/>
        </w:rPr>
        <w:t xml:space="preserve">më 10 nëntor të vitit 2021 </w:t>
      </w:r>
      <w:r w:rsidRPr="006B700E">
        <w:rPr>
          <w:sz w:val="24"/>
          <w:szCs w:val="24"/>
        </w:rPr>
        <w:t>dhe për mos</w:t>
      </w:r>
      <w:r w:rsidR="00504D46" w:rsidRPr="006B700E">
        <w:rPr>
          <w:sz w:val="24"/>
          <w:szCs w:val="24"/>
        </w:rPr>
        <w:t xml:space="preserve"> </w:t>
      </w:r>
      <w:r w:rsidRPr="006B700E">
        <w:rPr>
          <w:sz w:val="24"/>
          <w:szCs w:val="24"/>
        </w:rPr>
        <w:t xml:space="preserve">informimin e komitetit nga ana e qeverisë. KSHH-ja deklaroi se </w:t>
      </w:r>
      <w:r w:rsidR="00504D46" w:rsidRPr="006B700E">
        <w:rPr>
          <w:sz w:val="24"/>
          <w:szCs w:val="24"/>
        </w:rPr>
        <w:t>përjashtimi</w:t>
      </w:r>
      <w:r w:rsidRPr="006B700E">
        <w:rPr>
          <w:sz w:val="24"/>
          <w:szCs w:val="24"/>
        </w:rPr>
        <w:t xml:space="preserve"> </w:t>
      </w:r>
      <w:r w:rsidR="00504D46" w:rsidRPr="006B700E">
        <w:rPr>
          <w:sz w:val="24"/>
          <w:szCs w:val="24"/>
        </w:rPr>
        <w:t>i</w:t>
      </w:r>
      <w:r w:rsidRPr="006B700E">
        <w:rPr>
          <w:sz w:val="24"/>
          <w:szCs w:val="24"/>
        </w:rPr>
        <w:t xml:space="preserve"> tyre përbënte regres në lidhje me standardet e transparencës, përgjegjësisë dhe llogaridhënies. KSHH-ja vërejti se shoqëria civile duhet të përfaqësohet në përbërjen e Komisionit Kombëtar për Azilin dhe Refugjatët</w:t>
      </w:r>
      <w:r w:rsidR="00504D46" w:rsidRPr="006B700E">
        <w:rPr>
          <w:sz w:val="24"/>
          <w:szCs w:val="24"/>
        </w:rPr>
        <w:t>,</w:t>
      </w:r>
      <w:r w:rsidRPr="006B700E">
        <w:rPr>
          <w:sz w:val="24"/>
          <w:szCs w:val="24"/>
        </w:rPr>
        <w:t xml:space="preserve"> i cili, </w:t>
      </w:r>
      <w:r w:rsidR="00D807D6" w:rsidRPr="006B700E">
        <w:rPr>
          <w:sz w:val="24"/>
          <w:szCs w:val="24"/>
        </w:rPr>
        <w:t xml:space="preserve">pas heqjes së tyre, përbëhej vetëm nga përfaqësues të qeverisë. </w:t>
      </w:r>
      <w:r w:rsidR="00E46B28" w:rsidRPr="006B700E">
        <w:rPr>
          <w:sz w:val="24"/>
          <w:szCs w:val="24"/>
        </w:rPr>
        <w:t xml:space="preserve">Komisioni, organizëm apeli për çështjet e azilit, ishte ekskluzivisht nën përgjegjësinë e Ministrisë së Brendshme pas këtij ndryshimi. </w:t>
      </w:r>
    </w:p>
    <w:p w14:paraId="0A7C44F7" w14:textId="3B4BB595" w:rsidR="009E1169" w:rsidRPr="006B700E" w:rsidRDefault="007C3995" w:rsidP="00053B21">
      <w:pPr>
        <w:rPr>
          <w:sz w:val="24"/>
          <w:szCs w:val="24"/>
        </w:rPr>
      </w:pPr>
      <w:r w:rsidRPr="006B700E">
        <w:rPr>
          <w:sz w:val="24"/>
          <w:szCs w:val="24"/>
        </w:rPr>
        <w:t xml:space="preserve">Policia i lejoi </w:t>
      </w:r>
      <w:r w:rsidR="009E1169" w:rsidRPr="006B700E">
        <w:rPr>
          <w:sz w:val="24"/>
          <w:szCs w:val="24"/>
        </w:rPr>
        <w:t>UNHCR</w:t>
      </w:r>
      <w:r w:rsidRPr="006B700E">
        <w:rPr>
          <w:sz w:val="24"/>
          <w:szCs w:val="24"/>
        </w:rPr>
        <w:t>-në</w:t>
      </w:r>
      <w:r w:rsidR="009E1169" w:rsidRPr="006B700E">
        <w:rPr>
          <w:sz w:val="24"/>
          <w:szCs w:val="24"/>
        </w:rPr>
        <w:t xml:space="preserve">, </w:t>
      </w:r>
      <w:r w:rsidRPr="006B700E">
        <w:rPr>
          <w:sz w:val="24"/>
          <w:szCs w:val="24"/>
        </w:rPr>
        <w:t>Zyr</w:t>
      </w:r>
      <w:r w:rsidR="00504D46" w:rsidRPr="006B700E">
        <w:rPr>
          <w:sz w:val="24"/>
          <w:szCs w:val="24"/>
        </w:rPr>
        <w:t>ë</w:t>
      </w:r>
      <w:r w:rsidRPr="006B700E">
        <w:rPr>
          <w:sz w:val="24"/>
          <w:szCs w:val="24"/>
        </w:rPr>
        <w:t>n e Avokatit të Popullit dhe OJQ-në “</w:t>
      </w:r>
      <w:r w:rsidR="009E1169" w:rsidRPr="006B700E">
        <w:rPr>
          <w:sz w:val="24"/>
          <w:szCs w:val="24"/>
        </w:rPr>
        <w:t>Caritas</w:t>
      </w:r>
      <w:r w:rsidRPr="006B700E">
        <w:rPr>
          <w:sz w:val="24"/>
          <w:szCs w:val="24"/>
        </w:rPr>
        <w:t xml:space="preserve">” të kryenin monitorime të pavarura. Monitoruesit raportuan se procedurat e kontrollit paraprak shpesh </w:t>
      </w:r>
      <w:r w:rsidR="00053B21" w:rsidRPr="006B700E">
        <w:rPr>
          <w:sz w:val="24"/>
          <w:szCs w:val="24"/>
        </w:rPr>
        <w:t>shkurtoheshin, duke ngritur shqetësime për mundësinë për azil dhe identifikimin e viktimave të mundshme të trafikimit. Avokati i Popullit dhe “</w:t>
      </w:r>
      <w:r w:rsidR="00727AE9" w:rsidRPr="006B700E">
        <w:rPr>
          <w:sz w:val="24"/>
          <w:szCs w:val="24"/>
        </w:rPr>
        <w:t>C</w:t>
      </w:r>
      <w:r w:rsidR="00053B21" w:rsidRPr="006B700E">
        <w:rPr>
          <w:sz w:val="24"/>
          <w:szCs w:val="24"/>
        </w:rPr>
        <w:t xml:space="preserve">aritas” u lejuan gjithashtu të monitoronin ndalimin e migrantëve. </w:t>
      </w:r>
    </w:p>
    <w:p w14:paraId="5C6E637D" w14:textId="022494F2" w:rsidR="009E1169" w:rsidRPr="006B700E" w:rsidRDefault="009E1169" w:rsidP="003A47FD">
      <w:pPr>
        <w:rPr>
          <w:sz w:val="24"/>
          <w:szCs w:val="24"/>
        </w:rPr>
      </w:pPr>
      <w:r w:rsidRPr="006B700E">
        <w:rPr>
          <w:sz w:val="24"/>
          <w:szCs w:val="24"/>
        </w:rPr>
        <w:t>UNHCR</w:t>
      </w:r>
      <w:r w:rsidR="00053B21" w:rsidRPr="006B700E">
        <w:rPr>
          <w:sz w:val="24"/>
          <w:szCs w:val="24"/>
        </w:rPr>
        <w:t>-ja raportoi disa raste kur policia e kufirit kthente migrantët në Greqi pavarësisht shprehjes së migrantëve se qëllimi i tyre ishte të kërkonin azil.</w:t>
      </w:r>
      <w:r w:rsidRPr="006B700E">
        <w:rPr>
          <w:sz w:val="24"/>
          <w:szCs w:val="24"/>
        </w:rPr>
        <w:t xml:space="preserve"> UNHCR</w:t>
      </w:r>
      <w:r w:rsidR="00053B21" w:rsidRPr="006B700E">
        <w:rPr>
          <w:sz w:val="24"/>
          <w:szCs w:val="24"/>
        </w:rPr>
        <w:t xml:space="preserve">-ja dhe partnerët vërejtën se procedura e kontrollit paraprak ishte e pamjaftueshme dhe ngrinte shqetësime rreth mundësisë për azil si edhe identifikimin e personave me nevoja të veçanta, përfshirë viktimat e trafikimit. Sipas </w:t>
      </w:r>
      <w:r w:rsidRPr="006B700E">
        <w:rPr>
          <w:sz w:val="24"/>
          <w:szCs w:val="24"/>
        </w:rPr>
        <w:t>UNHCR</w:t>
      </w:r>
      <w:r w:rsidR="00053B21" w:rsidRPr="006B700E">
        <w:rPr>
          <w:sz w:val="24"/>
          <w:szCs w:val="24"/>
        </w:rPr>
        <w:t>-së</w:t>
      </w:r>
      <w:r w:rsidRPr="006B700E">
        <w:rPr>
          <w:sz w:val="24"/>
          <w:szCs w:val="24"/>
        </w:rPr>
        <w:t xml:space="preserve">, </w:t>
      </w:r>
      <w:r w:rsidR="00053B21" w:rsidRPr="006B700E">
        <w:rPr>
          <w:sz w:val="24"/>
          <w:szCs w:val="24"/>
        </w:rPr>
        <w:t xml:space="preserve">kthimet në Greqi ishin bërë pa garancinë e domosdoshme siç parashikohet në Marrëveshjen e Ripranimit BE-Shqipëri për shtetasit shqiptarë ose grekë. </w:t>
      </w:r>
      <w:r w:rsidR="003A47FD" w:rsidRPr="006B700E">
        <w:rPr>
          <w:sz w:val="24"/>
          <w:szCs w:val="24"/>
        </w:rPr>
        <w:t xml:space="preserve">Shtetasit e vendeve të treta që vinin nga Greqia nuk kishin marrëveshje që t’i mbronte kur ktheheshin mbrapsht në Greqi.  </w:t>
      </w:r>
    </w:p>
    <w:p w14:paraId="11EB8F40" w14:textId="310FE0A3" w:rsidR="009E1169" w:rsidRPr="006B700E" w:rsidRDefault="009E1169" w:rsidP="006B1A16">
      <w:pPr>
        <w:rPr>
          <w:sz w:val="24"/>
          <w:szCs w:val="24"/>
        </w:rPr>
      </w:pPr>
      <w:r w:rsidRPr="006B700E">
        <w:rPr>
          <w:sz w:val="24"/>
          <w:szCs w:val="24"/>
        </w:rPr>
        <w:t>Migrant</w:t>
      </w:r>
      <w:r w:rsidR="00C66B48" w:rsidRPr="006B700E">
        <w:rPr>
          <w:sz w:val="24"/>
          <w:szCs w:val="24"/>
        </w:rPr>
        <w:t xml:space="preserve">ët që </w:t>
      </w:r>
      <w:r w:rsidR="006B1A16" w:rsidRPr="006B700E">
        <w:rPr>
          <w:sz w:val="24"/>
          <w:szCs w:val="24"/>
        </w:rPr>
        <w:t xml:space="preserve">kërkonin azil strehoheshin në Qendrën Kombëtare të Pranimit për Azilkërkuesit në Babrru. Shumë prej migrantëve të vendosur në Babrru më pas u kapën disa herë duke u përpjekur të kalonin për në Malin e Zi ose Kosovë nëse nuk kishin qëndruar në vend për të ndjekur kërkesat e azilit. Për shkak të fondeve të shtuara të qeverisë dhe </w:t>
      </w:r>
      <w:r w:rsidRPr="006B700E">
        <w:rPr>
          <w:sz w:val="24"/>
          <w:szCs w:val="24"/>
        </w:rPr>
        <w:t>UNHCR</w:t>
      </w:r>
      <w:r w:rsidR="006B1A16" w:rsidRPr="006B700E">
        <w:rPr>
          <w:sz w:val="24"/>
          <w:szCs w:val="24"/>
        </w:rPr>
        <w:t xml:space="preserve">-së në vitin </w:t>
      </w:r>
      <w:r w:rsidRPr="006B700E">
        <w:rPr>
          <w:sz w:val="24"/>
          <w:szCs w:val="24"/>
        </w:rPr>
        <w:t xml:space="preserve">2021, </w:t>
      </w:r>
      <w:r w:rsidR="006B1A16" w:rsidRPr="006B700E">
        <w:rPr>
          <w:sz w:val="24"/>
          <w:szCs w:val="24"/>
        </w:rPr>
        <w:t>kushtet e pranimit në Qendrën e Pranimit në</w:t>
      </w:r>
      <w:r w:rsidRPr="006B700E">
        <w:rPr>
          <w:sz w:val="24"/>
          <w:szCs w:val="24"/>
        </w:rPr>
        <w:t xml:space="preserve"> Babrru </w:t>
      </w:r>
      <w:r w:rsidR="006B1A16" w:rsidRPr="006B700E">
        <w:rPr>
          <w:sz w:val="24"/>
          <w:szCs w:val="24"/>
        </w:rPr>
        <w:t xml:space="preserve">u përmirësuan në vija të përgjithshme. </w:t>
      </w:r>
    </w:p>
    <w:p w14:paraId="6BE3CB1F" w14:textId="74F42B65" w:rsidR="00AF39DB" w:rsidRPr="006B700E" w:rsidRDefault="00AF39DB" w:rsidP="00AF39DB">
      <w:pPr>
        <w:spacing w:after="0"/>
        <w:jc w:val="both"/>
        <w:rPr>
          <w:b/>
          <w:bCs/>
          <w:sz w:val="24"/>
          <w:szCs w:val="24"/>
        </w:rPr>
      </w:pPr>
      <w:r w:rsidRPr="006B700E">
        <w:rPr>
          <w:b/>
          <w:sz w:val="24"/>
          <w:szCs w:val="24"/>
        </w:rPr>
        <w:t>Abuzimi me migrantët dhe refugjatët:</w:t>
      </w:r>
      <w:r w:rsidRPr="006B700E">
        <w:rPr>
          <w:sz w:val="24"/>
          <w:szCs w:val="24"/>
        </w:rPr>
        <w:t xml:space="preserve"> OJQ-të raportuan shqetësime në lidhje me fëmijë të huaj e të ndarë të pashoqëruar të cilët u përballën me riskun e dhunës, abuzimit, neglizhencës dhe shfrytëzimit për shkak të mungesës së një sistemi të fortë mbrojtjeje. </w:t>
      </w:r>
    </w:p>
    <w:p w14:paraId="4261EBD0" w14:textId="5FDB8CAF" w:rsidR="00AF39DB" w:rsidRPr="006B700E" w:rsidRDefault="00AF39DB" w:rsidP="00AF39DB">
      <w:pPr>
        <w:spacing w:after="0"/>
        <w:jc w:val="both"/>
        <w:rPr>
          <w:sz w:val="24"/>
          <w:szCs w:val="24"/>
        </w:rPr>
      </w:pPr>
      <w:r w:rsidRPr="006B700E">
        <w:rPr>
          <w:b/>
          <w:sz w:val="24"/>
          <w:szCs w:val="24"/>
        </w:rPr>
        <w:t>Mundësi shfrytëzimi të shërbimeve bazë:</w:t>
      </w:r>
      <w:r w:rsidRPr="006B700E">
        <w:rPr>
          <w:sz w:val="24"/>
          <w:szCs w:val="24"/>
        </w:rPr>
        <w:t xml:space="preserve"> Ligji u garanton refugjatëve mundësi përdorimi të shërbimeve publike, përfshirë arsimin, kujdesin shëndetësor, strehimin, zbatimin e ligjit, gjykatat dhe procedurat gjyqësore, si edhe ndihmën ligjore. </w:t>
      </w:r>
      <w:r w:rsidR="009E1169" w:rsidRPr="006B700E">
        <w:rPr>
          <w:sz w:val="24"/>
          <w:szCs w:val="24"/>
        </w:rPr>
        <w:t>UNHCR</w:t>
      </w:r>
      <w:r w:rsidRPr="006B700E">
        <w:rPr>
          <w:sz w:val="24"/>
          <w:szCs w:val="24"/>
        </w:rPr>
        <w:t>-ja</w:t>
      </w:r>
      <w:r w:rsidR="009E1169" w:rsidRPr="006B700E">
        <w:rPr>
          <w:sz w:val="24"/>
          <w:szCs w:val="24"/>
        </w:rPr>
        <w:t xml:space="preserve"> </w:t>
      </w:r>
      <w:r w:rsidRPr="006B700E">
        <w:rPr>
          <w:sz w:val="24"/>
          <w:szCs w:val="24"/>
        </w:rPr>
        <w:t xml:space="preserve">raportoi se mundësia e shfrytëzimit </w:t>
      </w:r>
      <w:r w:rsidRPr="006B700E">
        <w:rPr>
          <w:sz w:val="24"/>
          <w:szCs w:val="24"/>
        </w:rPr>
        <w:lastRenderedPageBreak/>
        <w:t xml:space="preserve">të kujdesit dhe shërbimeve sociale mbeti sfidë, pavarësisht detyrimeve ligjore për të garantuar trajtim jo diskriminues për azilkërkuesit dhe refugjatët. Kjo ndodhi kryesisht për shkak të ligjeve dhe akteve nënligjore kontradiktore. </w:t>
      </w:r>
      <w:r w:rsidR="009E1169" w:rsidRPr="006B700E">
        <w:rPr>
          <w:sz w:val="24"/>
          <w:szCs w:val="24"/>
        </w:rPr>
        <w:t>UNHCR</w:t>
      </w:r>
      <w:r w:rsidRPr="006B700E">
        <w:rPr>
          <w:sz w:val="24"/>
          <w:szCs w:val="24"/>
        </w:rPr>
        <w:t>-ja vërejti se</w:t>
      </w:r>
      <w:r w:rsidR="003D702C" w:rsidRPr="006B700E">
        <w:rPr>
          <w:sz w:val="24"/>
          <w:szCs w:val="24"/>
        </w:rPr>
        <w:t xml:space="preserve"> </w:t>
      </w:r>
      <w:r w:rsidRPr="006B700E">
        <w:rPr>
          <w:sz w:val="24"/>
          <w:szCs w:val="24"/>
        </w:rPr>
        <w:t>njoh</w:t>
      </w:r>
      <w:r w:rsidR="003D702C" w:rsidRPr="006B700E">
        <w:rPr>
          <w:sz w:val="24"/>
          <w:szCs w:val="24"/>
        </w:rPr>
        <w:t>ja ishte e</w:t>
      </w:r>
      <w:r w:rsidRPr="006B700E">
        <w:rPr>
          <w:sz w:val="24"/>
          <w:szCs w:val="24"/>
        </w:rPr>
        <w:t xml:space="preserve"> kufizuar në lidhje me të drejtat e refugjatëve për lehtësim publik dhe mbrojtje sociale, gjë që çoi në mohimin e shërbimeve. </w:t>
      </w:r>
      <w:r w:rsidR="00692025" w:rsidRPr="006B700E">
        <w:rPr>
          <w:sz w:val="24"/>
          <w:szCs w:val="24"/>
        </w:rPr>
        <w:t xml:space="preserve">Vendimi i muajit maj i qeverisë për të ofruar shumicën e shërbimeve publike </w:t>
      </w:r>
      <w:r w:rsidR="00692025" w:rsidRPr="006B700E">
        <w:rPr>
          <w:i/>
          <w:iCs/>
          <w:sz w:val="24"/>
          <w:szCs w:val="24"/>
        </w:rPr>
        <w:t xml:space="preserve">online </w:t>
      </w:r>
      <w:r w:rsidR="00692025" w:rsidRPr="006B700E">
        <w:rPr>
          <w:sz w:val="24"/>
          <w:szCs w:val="24"/>
        </w:rPr>
        <w:t xml:space="preserve">shtoi sfidat për aksesimin e shërbimeve nga refugjatët dhe azilkërkuesit, shumë prej të cilëve nuk kishin kredencialet e duhura elektronike për t’u regjistruar dhe aksesuar platformën vendore.   </w:t>
      </w:r>
    </w:p>
    <w:p w14:paraId="5A73F416" w14:textId="77777777" w:rsidR="003D4615" w:rsidRPr="006B700E" w:rsidRDefault="003D4615" w:rsidP="003D4615">
      <w:pPr>
        <w:jc w:val="both"/>
      </w:pPr>
      <w:r w:rsidRPr="006B700E">
        <w:rPr>
          <w:b/>
        </w:rPr>
        <w:t xml:space="preserve">e. Statusi i personave të zhvendosur brenda vendit dhe trajtimi i tyre  </w:t>
      </w:r>
      <w:r w:rsidRPr="006B700E">
        <w:t xml:space="preserve"> </w:t>
      </w:r>
    </w:p>
    <w:p w14:paraId="2D67D466" w14:textId="77777777" w:rsidR="003D4615" w:rsidRPr="006B700E" w:rsidRDefault="003D4615" w:rsidP="003D4615">
      <w:pPr>
        <w:jc w:val="both"/>
        <w:rPr>
          <w:sz w:val="24"/>
          <w:szCs w:val="24"/>
        </w:rPr>
      </w:pPr>
      <w:r w:rsidRPr="006B700E">
        <w:rPr>
          <w:sz w:val="24"/>
          <w:szCs w:val="24"/>
        </w:rPr>
        <w:t xml:space="preserve">E pavlefshme.  </w:t>
      </w:r>
    </w:p>
    <w:p w14:paraId="3F40D0DB" w14:textId="77777777" w:rsidR="003D4615" w:rsidRPr="006B700E" w:rsidRDefault="003D4615" w:rsidP="003D4615">
      <w:pPr>
        <w:jc w:val="both"/>
        <w:rPr>
          <w:b/>
        </w:rPr>
      </w:pPr>
      <w:bookmarkStart w:id="1" w:name="_Hlk23333799"/>
      <w:r w:rsidRPr="006B700E">
        <w:rPr>
          <w:b/>
        </w:rPr>
        <w:t xml:space="preserve">g. Personat pa shtetësi  </w:t>
      </w:r>
    </w:p>
    <w:p w14:paraId="34993807" w14:textId="36A855E2" w:rsidR="003D4615" w:rsidRPr="006B700E" w:rsidRDefault="003D4615" w:rsidP="003D4615">
      <w:pPr>
        <w:jc w:val="both"/>
        <w:rPr>
          <w:sz w:val="24"/>
          <w:szCs w:val="24"/>
        </w:rPr>
      </w:pPr>
      <w:r w:rsidRPr="006B700E">
        <w:rPr>
          <w:sz w:val="24"/>
          <w:szCs w:val="24"/>
        </w:rPr>
        <w:t xml:space="preserve">Qeveria raportoi se nuk kishte të dhëna në lidhje me numrin e plotë të personave pa shtetësi apo të personave në rrezik për pashtetësi në vend. </w:t>
      </w:r>
    </w:p>
    <w:p w14:paraId="1CFD7395" w14:textId="6901574D" w:rsidR="009E1169" w:rsidRPr="006B700E" w:rsidRDefault="00AB1317" w:rsidP="00AB1317">
      <w:pPr>
        <w:rPr>
          <w:sz w:val="24"/>
          <w:szCs w:val="24"/>
        </w:rPr>
      </w:pPr>
      <w:r w:rsidRPr="006B700E">
        <w:rPr>
          <w:sz w:val="24"/>
          <w:szCs w:val="24"/>
        </w:rPr>
        <w:t xml:space="preserve">Sipas </w:t>
      </w:r>
      <w:r w:rsidR="009E1169" w:rsidRPr="006B700E">
        <w:rPr>
          <w:sz w:val="24"/>
          <w:szCs w:val="24"/>
        </w:rPr>
        <w:t>UNHCR</w:t>
      </w:r>
      <w:r w:rsidRPr="006B700E">
        <w:rPr>
          <w:sz w:val="24"/>
          <w:szCs w:val="24"/>
        </w:rPr>
        <w:t xml:space="preserve">-së, pati </w:t>
      </w:r>
      <w:r w:rsidR="009E1169" w:rsidRPr="006B700E">
        <w:rPr>
          <w:sz w:val="24"/>
          <w:szCs w:val="24"/>
        </w:rPr>
        <w:t>710 person</w:t>
      </w:r>
      <w:r w:rsidRPr="006B700E">
        <w:rPr>
          <w:sz w:val="24"/>
          <w:szCs w:val="24"/>
        </w:rPr>
        <w:t xml:space="preserve">a në rrezik për pashtetësi nga janari deri në korrik të vitit </w:t>
      </w:r>
      <w:r w:rsidR="009E1169" w:rsidRPr="006B700E">
        <w:rPr>
          <w:sz w:val="24"/>
          <w:szCs w:val="24"/>
        </w:rPr>
        <w:t>2021</w:t>
      </w:r>
      <w:r w:rsidRPr="006B700E">
        <w:rPr>
          <w:sz w:val="24"/>
          <w:szCs w:val="24"/>
        </w:rPr>
        <w:t xml:space="preserve">. Prej këtyre, </w:t>
      </w:r>
      <w:r w:rsidR="009E1169" w:rsidRPr="006B700E">
        <w:rPr>
          <w:sz w:val="24"/>
          <w:szCs w:val="24"/>
        </w:rPr>
        <w:t xml:space="preserve">460 </w:t>
      </w:r>
      <w:r w:rsidRPr="006B700E">
        <w:rPr>
          <w:sz w:val="24"/>
          <w:szCs w:val="24"/>
        </w:rPr>
        <w:t xml:space="preserve">ishin në proces regjistrimi në Regjistrin Kombëtar të Gjendjes Civile nëpërmjet sistemit të gjykatës. Ligji përcakton procedurën për vendosjen e pashtetësisë dhe garanton ndihmë ligjore falas për individët e cenueshëm, përfshirë personat pa shtetësi dhe ata në rrezik për pashtetësi. </w:t>
      </w:r>
      <w:bookmarkEnd w:id="1"/>
      <w:r w:rsidR="009E1169" w:rsidRPr="006B700E">
        <w:rPr>
          <w:sz w:val="24"/>
          <w:szCs w:val="24"/>
        </w:rPr>
        <w:t>UNHCR</w:t>
      </w:r>
      <w:r w:rsidRPr="006B700E">
        <w:rPr>
          <w:sz w:val="24"/>
          <w:szCs w:val="24"/>
        </w:rPr>
        <w:t xml:space="preserve">-ja dhe partnerët e tyre i ofruan mbështetje teknike qeverisë për zbatimin e ligjit. </w:t>
      </w:r>
    </w:p>
    <w:p w14:paraId="171B9E00" w14:textId="77777777" w:rsidR="00082D9D" w:rsidRPr="006B700E" w:rsidRDefault="00082D9D" w:rsidP="00082D9D">
      <w:pPr>
        <w:jc w:val="both"/>
        <w:rPr>
          <w:sz w:val="32"/>
          <w:szCs w:val="32"/>
        </w:rPr>
      </w:pPr>
      <w:r w:rsidRPr="006B700E">
        <w:rPr>
          <w:b/>
          <w:sz w:val="32"/>
          <w:szCs w:val="32"/>
        </w:rPr>
        <w:t xml:space="preserve">Seksioni 3. Liria për të marrë pjesë në procesin politik </w:t>
      </w:r>
    </w:p>
    <w:p w14:paraId="198936DA" w14:textId="77777777" w:rsidR="00082D9D" w:rsidRPr="006B700E" w:rsidRDefault="00082D9D" w:rsidP="00082D9D">
      <w:pPr>
        <w:jc w:val="both"/>
        <w:rPr>
          <w:sz w:val="24"/>
          <w:szCs w:val="24"/>
        </w:rPr>
      </w:pPr>
      <w:r w:rsidRPr="006B700E">
        <w:rPr>
          <w:sz w:val="24"/>
          <w:szCs w:val="24"/>
        </w:rPr>
        <w:t xml:space="preserve">Kushtetuta dhe ligji u garantojnë qytetarëve mundësinë të zgjedhin qeverinë e tyre në zgjedhje periodike të lira e të drejta të zhvilluara me votim të fshehtë dhe të bazuara në të drejtën universale dhe të barabartë të votës. </w:t>
      </w:r>
    </w:p>
    <w:p w14:paraId="15D18A3C" w14:textId="77777777" w:rsidR="009646F4" w:rsidRPr="006B700E" w:rsidRDefault="009646F4" w:rsidP="009646F4">
      <w:pPr>
        <w:jc w:val="both"/>
        <w:rPr>
          <w:sz w:val="24"/>
          <w:szCs w:val="24"/>
        </w:rPr>
      </w:pPr>
      <w:r w:rsidRPr="006B700E">
        <w:rPr>
          <w:b/>
          <w:sz w:val="24"/>
          <w:szCs w:val="24"/>
        </w:rPr>
        <w:t xml:space="preserve">Zgjedhjet dhe pjesëmarrja politike </w:t>
      </w:r>
      <w:r w:rsidRPr="006B700E">
        <w:rPr>
          <w:sz w:val="24"/>
          <w:szCs w:val="24"/>
        </w:rPr>
        <w:t xml:space="preserve"> </w:t>
      </w:r>
    </w:p>
    <w:p w14:paraId="60498D4A" w14:textId="2020ED29" w:rsidR="009E1169" w:rsidRPr="006B700E" w:rsidRDefault="009646F4" w:rsidP="009E1169">
      <w:pPr>
        <w:rPr>
          <w:b/>
          <w:bCs/>
          <w:sz w:val="24"/>
          <w:szCs w:val="24"/>
        </w:rPr>
      </w:pPr>
      <w:r w:rsidRPr="006B700E">
        <w:rPr>
          <w:b/>
          <w:sz w:val="24"/>
          <w:szCs w:val="24"/>
        </w:rPr>
        <w:t>Zgjedhjet e fundit:</w:t>
      </w:r>
      <w:r w:rsidRPr="006B700E">
        <w:rPr>
          <w:sz w:val="24"/>
          <w:szCs w:val="24"/>
        </w:rPr>
        <w:t xml:space="preserve"> Zgjedhjet më të fundit kombëtare parlamentare u organizuan </w:t>
      </w:r>
      <w:r w:rsidR="003D702C" w:rsidRPr="006B700E">
        <w:rPr>
          <w:sz w:val="24"/>
          <w:szCs w:val="24"/>
        </w:rPr>
        <w:t>m</w:t>
      </w:r>
      <w:r w:rsidRPr="006B700E">
        <w:rPr>
          <w:sz w:val="24"/>
          <w:szCs w:val="24"/>
        </w:rPr>
        <w:t>ë 25 prill, 2021. Një</w:t>
      </w:r>
      <w:r w:rsidRPr="006B700E">
        <w:rPr>
          <w:b/>
          <w:bCs/>
          <w:sz w:val="24"/>
          <w:szCs w:val="24"/>
        </w:rPr>
        <w:t xml:space="preserve"> </w:t>
      </w:r>
      <w:r w:rsidRPr="006B700E">
        <w:rPr>
          <w:sz w:val="24"/>
          <w:szCs w:val="24"/>
        </w:rPr>
        <w:t xml:space="preserve">Mision Ndërkombëtar Vëzhgimi për Zgjedhjet (IEOM) u krijua si përpjekje e përbashkët e zyrës së OSBE-së për Demokracinë dhe të Drejtat e Njeriut, Asamblesë Parlamentare të OSBE-së dhe Asamblesë Parlamentare të Këshillit të Europës (APKE) i cili </w:t>
      </w:r>
      <w:r w:rsidRPr="006B700E">
        <w:rPr>
          <w:sz w:val="24"/>
          <w:szCs w:val="24"/>
        </w:rPr>
        <w:lastRenderedPageBreak/>
        <w:t>nxori raportin përfundimtar më 26 korrik 2021</w:t>
      </w:r>
      <w:r w:rsidR="003D702C" w:rsidRPr="006B700E">
        <w:rPr>
          <w:sz w:val="24"/>
          <w:szCs w:val="24"/>
        </w:rPr>
        <w:t>,</w:t>
      </w:r>
      <w:r w:rsidRPr="006B700E">
        <w:rPr>
          <w:sz w:val="24"/>
          <w:szCs w:val="24"/>
        </w:rPr>
        <w:t xml:space="preserve"> ku thuhej se zgjedhjet ishin në përgjithësi të mirë-organizuara dhe vërehej se Komisioni Qendror i Zgjedhjeve “ia doli të përmbushte mjaftueshëm shumicën e detyrimeve që kishte, përfshirë detyrime të reja të ndërlikuara lidhur me identifikimin elektronik të votuesve. Në tërësi, administrimi i zgjedhjeve në të gjitha nivelet pati besimin e aktorëve.” IEOM-i raportoi se “partia në pushtet pati avantazh të konsiderueshëm prej të qenit në pushtet, përfshirë kontrollin që kishte në administratat vendore dhe nga keqpërdorimi i burimeve administrative. Kjo u shumëfishua nga mbulimi pozitiv i institucioneve shtetërore në media.” Misioni theksoi gjithashtu disa mangësi, përfshirë deklarata të besueshme për blerjen e përhapur të votave nga partitë politike dhe rrjedhjen e paligjshme të të dhënave personale të ndjeshme. Raporti </w:t>
      </w:r>
      <w:r w:rsidR="00EE2BE2" w:rsidRPr="006B700E">
        <w:rPr>
          <w:sz w:val="24"/>
          <w:szCs w:val="24"/>
        </w:rPr>
        <w:t>thoshte</w:t>
      </w:r>
      <w:r w:rsidRPr="006B700E">
        <w:rPr>
          <w:sz w:val="24"/>
          <w:szCs w:val="24"/>
        </w:rPr>
        <w:t xml:space="preserve"> se gazetarët mbetën të cenueshëm nga presioni dhe korrupsioni </w:t>
      </w:r>
      <w:r w:rsidR="009E1169" w:rsidRPr="006B700E">
        <w:rPr>
          <w:sz w:val="24"/>
          <w:szCs w:val="24"/>
        </w:rPr>
        <w:t>(s</w:t>
      </w:r>
      <w:r w:rsidRPr="006B700E">
        <w:rPr>
          <w:sz w:val="24"/>
          <w:szCs w:val="24"/>
        </w:rPr>
        <w:t xml:space="preserve">hikoni </w:t>
      </w:r>
      <w:r w:rsidR="009E1169" w:rsidRPr="006B700E">
        <w:rPr>
          <w:sz w:val="24"/>
          <w:szCs w:val="24"/>
        </w:rPr>
        <w:t>se</w:t>
      </w:r>
      <w:r w:rsidRPr="006B700E">
        <w:rPr>
          <w:sz w:val="24"/>
          <w:szCs w:val="24"/>
        </w:rPr>
        <w:t>ks</w:t>
      </w:r>
      <w:r w:rsidR="009E1169" w:rsidRPr="006B700E">
        <w:rPr>
          <w:sz w:val="24"/>
          <w:szCs w:val="24"/>
        </w:rPr>
        <w:t>ion</w:t>
      </w:r>
      <w:r w:rsidRPr="006B700E">
        <w:rPr>
          <w:sz w:val="24"/>
          <w:szCs w:val="24"/>
        </w:rPr>
        <w:t>i</w:t>
      </w:r>
      <w:r w:rsidR="009E1169" w:rsidRPr="006B700E">
        <w:rPr>
          <w:sz w:val="24"/>
          <w:szCs w:val="24"/>
        </w:rPr>
        <w:t xml:space="preserve"> 2.a.).</w:t>
      </w:r>
    </w:p>
    <w:p w14:paraId="15198D41" w14:textId="77777777" w:rsidR="004B755D" w:rsidRPr="006B700E" w:rsidRDefault="004B755D" w:rsidP="004B755D">
      <w:pPr>
        <w:spacing w:after="0"/>
        <w:jc w:val="both"/>
        <w:rPr>
          <w:sz w:val="24"/>
          <w:szCs w:val="24"/>
        </w:rPr>
      </w:pPr>
      <w:r w:rsidRPr="006B700E">
        <w:rPr>
          <w:b/>
          <w:sz w:val="24"/>
          <w:szCs w:val="24"/>
        </w:rPr>
        <w:t>Partitë politike dhe pjesëmarrja politike:</w:t>
      </w:r>
      <w:r w:rsidRPr="006B700E">
        <w:rPr>
          <w:sz w:val="24"/>
          <w:szCs w:val="24"/>
        </w:rPr>
        <w:t xml:space="preserve"> Mediat raportuan pretendime për përdorimin e burimeve publike për qëllime fushate partiake në zgjedhjet parlamentare të vitit 2021 dhe pati raportime për ndikim të paligjshëm politik në media. Pati gjithashtu raportime për mundësi të kufizuara votimi për personat me aftësi të kufizuara. </w:t>
      </w:r>
    </w:p>
    <w:p w14:paraId="68B8D03C" w14:textId="4EF16491" w:rsidR="004B755D" w:rsidRPr="006B700E" w:rsidRDefault="00387155" w:rsidP="00387155">
      <w:pPr>
        <w:spacing w:after="0"/>
        <w:jc w:val="both"/>
        <w:rPr>
          <w:b/>
          <w:bCs/>
          <w:sz w:val="24"/>
          <w:szCs w:val="24"/>
        </w:rPr>
      </w:pPr>
      <w:r w:rsidRPr="006B700E">
        <w:rPr>
          <w:b/>
          <w:sz w:val="24"/>
          <w:szCs w:val="24"/>
        </w:rPr>
        <w:t>Pjesëmarrja e grave dhe pakicave:</w:t>
      </w:r>
      <w:r w:rsidRPr="006B700E">
        <w:rPr>
          <w:sz w:val="24"/>
          <w:szCs w:val="24"/>
        </w:rPr>
        <w:t xml:space="preserve"> Nuk ka ligje që të kufizojnë pjesëmarrjen e grave dhe anëtarëve të grupeve të pakicave në procesin politik dhe këta morën pjesë. </w:t>
      </w:r>
    </w:p>
    <w:p w14:paraId="6BD946A1" w14:textId="77777777" w:rsidR="009117A8" w:rsidRPr="006B700E" w:rsidRDefault="009117A8" w:rsidP="009117A8">
      <w:pPr>
        <w:jc w:val="both"/>
      </w:pPr>
      <w:r w:rsidRPr="006B700E">
        <w:rPr>
          <w:b/>
        </w:rPr>
        <w:t xml:space="preserve">Seksioni 4. Korrupsioni dhe mungesa e transparencës në qeveri </w:t>
      </w:r>
    </w:p>
    <w:p w14:paraId="71C81E2A" w14:textId="2A36F8B7" w:rsidR="009E1169" w:rsidRPr="006B700E" w:rsidRDefault="009117A8" w:rsidP="009117A8">
      <w:pPr>
        <w:jc w:val="both"/>
        <w:rPr>
          <w:sz w:val="24"/>
          <w:szCs w:val="24"/>
        </w:rPr>
      </w:pPr>
      <w:r w:rsidRPr="006B700E">
        <w:rPr>
          <w:sz w:val="24"/>
          <w:szCs w:val="24"/>
        </w:rPr>
        <w:t xml:space="preserve">Ligji parashikon dënime penale për korrupsionin e kryer nga zyrtarët publikë dhe ndalon gjithashtu individët me dënime penale nga poste shërbimi si kryetarë bashkiakë, deputetë ose në poste qeveritare ose shtetërore. Qeveria në përgjithësi e zbatoi ligjin me efektshmëri. Sistemi gjyqësor, i cili po i nënshtrohet reformave të mbështetura nga Shtetet e Bashkuara dhe Bashkimi Europian, vazhdoi të përparonte në thyerjen e ciklit të pandëshkueshmërisë. </w:t>
      </w:r>
    </w:p>
    <w:p w14:paraId="253A277F" w14:textId="03A2BA84" w:rsidR="009E1169" w:rsidRPr="006B700E" w:rsidRDefault="007276E5" w:rsidP="00567D3D">
      <w:pPr>
        <w:rPr>
          <w:sz w:val="24"/>
          <w:szCs w:val="24"/>
        </w:rPr>
      </w:pPr>
      <w:r w:rsidRPr="006B700E">
        <w:rPr>
          <w:b/>
          <w:bCs/>
          <w:sz w:val="24"/>
          <w:szCs w:val="24"/>
        </w:rPr>
        <w:t>K</w:t>
      </w:r>
      <w:r w:rsidR="009E1169" w:rsidRPr="006B700E">
        <w:rPr>
          <w:b/>
          <w:bCs/>
          <w:sz w:val="24"/>
          <w:szCs w:val="24"/>
        </w:rPr>
        <w:t>orrup</w:t>
      </w:r>
      <w:r w:rsidRPr="006B700E">
        <w:rPr>
          <w:b/>
          <w:bCs/>
          <w:sz w:val="24"/>
          <w:szCs w:val="24"/>
        </w:rPr>
        <w:t>s</w:t>
      </w:r>
      <w:r w:rsidR="009E1169" w:rsidRPr="006B700E">
        <w:rPr>
          <w:b/>
          <w:bCs/>
          <w:sz w:val="24"/>
          <w:szCs w:val="24"/>
        </w:rPr>
        <w:t>ion</w:t>
      </w:r>
      <w:r w:rsidRPr="006B700E">
        <w:rPr>
          <w:b/>
          <w:bCs/>
          <w:sz w:val="24"/>
          <w:szCs w:val="24"/>
        </w:rPr>
        <w:t>i</w:t>
      </w:r>
      <w:r w:rsidR="009E1169" w:rsidRPr="006B700E">
        <w:rPr>
          <w:b/>
          <w:bCs/>
          <w:sz w:val="24"/>
          <w:szCs w:val="24"/>
        </w:rPr>
        <w:t>:</w:t>
      </w:r>
      <w:r w:rsidR="009E1169" w:rsidRPr="006B700E">
        <w:rPr>
          <w:sz w:val="24"/>
          <w:szCs w:val="24"/>
        </w:rPr>
        <w:t xml:space="preserve">  </w:t>
      </w:r>
      <w:r w:rsidRPr="006B700E">
        <w:rPr>
          <w:sz w:val="24"/>
          <w:szCs w:val="24"/>
        </w:rPr>
        <w:t>K</w:t>
      </w:r>
      <w:r w:rsidR="009E1169" w:rsidRPr="006B700E">
        <w:rPr>
          <w:sz w:val="24"/>
          <w:szCs w:val="24"/>
        </w:rPr>
        <w:t>orrup</w:t>
      </w:r>
      <w:r w:rsidRPr="006B700E">
        <w:rPr>
          <w:sz w:val="24"/>
          <w:szCs w:val="24"/>
        </w:rPr>
        <w:t>s</w:t>
      </w:r>
      <w:r w:rsidR="009E1169" w:rsidRPr="006B700E">
        <w:rPr>
          <w:sz w:val="24"/>
          <w:szCs w:val="24"/>
        </w:rPr>
        <w:t>ion</w:t>
      </w:r>
      <w:r w:rsidRPr="006B700E">
        <w:rPr>
          <w:sz w:val="24"/>
          <w:szCs w:val="24"/>
        </w:rPr>
        <w:t>i ekzistonte në të gjitha degët dhe nivelet e qeverisë, përfshirë nëpërmjet prokurimeve publike dhe partneritete</w:t>
      </w:r>
      <w:r w:rsidR="00EE2BE2" w:rsidRPr="006B700E">
        <w:rPr>
          <w:sz w:val="24"/>
          <w:szCs w:val="24"/>
        </w:rPr>
        <w:t>ve</w:t>
      </w:r>
      <w:r w:rsidRPr="006B700E">
        <w:rPr>
          <w:sz w:val="24"/>
          <w:szCs w:val="24"/>
        </w:rPr>
        <w:t xml:space="preserve"> publike-private, megjithëse autoritetet përparuan gjatë vitit në luftën kundër korrupsionit dhe të </w:t>
      </w:r>
      <w:r w:rsidR="00EE2BE2" w:rsidRPr="006B700E">
        <w:rPr>
          <w:sz w:val="24"/>
          <w:szCs w:val="24"/>
        </w:rPr>
        <w:t>zhdukjes së</w:t>
      </w:r>
      <w:r w:rsidRPr="006B700E">
        <w:rPr>
          <w:sz w:val="24"/>
          <w:szCs w:val="24"/>
        </w:rPr>
        <w:t xml:space="preserve"> pandëshkueshmërisë.</w:t>
      </w:r>
      <w:r w:rsidR="00047943" w:rsidRPr="006B700E">
        <w:rPr>
          <w:sz w:val="24"/>
          <w:szCs w:val="24"/>
        </w:rPr>
        <w:t xml:space="preserve"> Në muajin gusht, Prokuroria e Posaçme Kundër Korrupsionit dhe Krimit të Organizuar (SPAK) siguroi dënimin përfundimtar të ish-Ministrit të Brendshëm Saimir </w:t>
      </w:r>
      <w:r w:rsidR="009E1169" w:rsidRPr="006B700E">
        <w:rPr>
          <w:sz w:val="24"/>
          <w:szCs w:val="24"/>
        </w:rPr>
        <w:t xml:space="preserve">Tahiri </w:t>
      </w:r>
      <w:r w:rsidR="00047943" w:rsidRPr="006B700E">
        <w:rPr>
          <w:sz w:val="24"/>
          <w:szCs w:val="24"/>
        </w:rPr>
        <w:t>për akuzat e abuzimit me detyrën, siguroi dënimin përfundimtar për një gjykatës dhe një prokuror me akuzat për korrupsion dhe dërgoi për gjykim një çështje korrupsioni kundër një prokurori tjetër. Ish-</w:t>
      </w:r>
      <w:r w:rsidR="00EE2BE2" w:rsidRPr="006B700E">
        <w:rPr>
          <w:sz w:val="24"/>
          <w:szCs w:val="24"/>
        </w:rPr>
        <w:lastRenderedPageBreak/>
        <w:t>z</w:t>
      </w:r>
      <w:r w:rsidR="00047943" w:rsidRPr="006B700E">
        <w:rPr>
          <w:sz w:val="24"/>
          <w:szCs w:val="24"/>
        </w:rPr>
        <w:t xml:space="preserve">ëvendësministrja e </w:t>
      </w:r>
      <w:r w:rsidR="00EE2BE2" w:rsidRPr="006B700E">
        <w:rPr>
          <w:sz w:val="24"/>
          <w:szCs w:val="24"/>
        </w:rPr>
        <w:t>b</w:t>
      </w:r>
      <w:r w:rsidR="00047943" w:rsidRPr="006B700E">
        <w:rPr>
          <w:sz w:val="24"/>
          <w:szCs w:val="24"/>
        </w:rPr>
        <w:t xml:space="preserve">rendshme </w:t>
      </w:r>
      <w:r w:rsidR="009E1169" w:rsidRPr="006B700E">
        <w:rPr>
          <w:sz w:val="24"/>
          <w:szCs w:val="24"/>
        </w:rPr>
        <w:t xml:space="preserve">Rovena Voda </w:t>
      </w:r>
      <w:r w:rsidR="00047943" w:rsidRPr="006B700E">
        <w:rPr>
          <w:sz w:val="24"/>
          <w:szCs w:val="24"/>
        </w:rPr>
        <w:t xml:space="preserve">u dënua me 10 muaj burg dhe ish-kryetari i bashkisë </w:t>
      </w:r>
      <w:r w:rsidR="009E1169" w:rsidRPr="006B700E">
        <w:rPr>
          <w:sz w:val="24"/>
          <w:szCs w:val="24"/>
        </w:rPr>
        <w:t xml:space="preserve">Fatos Tushe </w:t>
      </w:r>
      <w:r w:rsidR="00047943" w:rsidRPr="006B700E">
        <w:rPr>
          <w:sz w:val="24"/>
          <w:szCs w:val="24"/>
        </w:rPr>
        <w:t xml:space="preserve">u dënua me dy vite dhe katër muaj për abuzim me detyrën. </w:t>
      </w:r>
      <w:r w:rsidR="009E1169" w:rsidRPr="006B700E">
        <w:rPr>
          <w:sz w:val="24"/>
          <w:szCs w:val="24"/>
        </w:rPr>
        <w:t>SPAK</w:t>
      </w:r>
      <w:r w:rsidR="00047943" w:rsidRPr="006B700E">
        <w:rPr>
          <w:sz w:val="24"/>
          <w:szCs w:val="24"/>
        </w:rPr>
        <w:t xml:space="preserve">-u hetoi gjithashtu kontratat publike-private për incineratorët e mbetjeve në qytetet e Tiranës, Elbasanit dhe Fierit, të cilat në mënyrë të paligjshme çuan në xhepat e zyrtarëve të qeverisë dhe kontraktuesve </w:t>
      </w:r>
      <w:r w:rsidR="009E1169" w:rsidRPr="006B700E">
        <w:rPr>
          <w:sz w:val="24"/>
          <w:szCs w:val="24"/>
        </w:rPr>
        <w:t>29</w:t>
      </w:r>
      <w:r w:rsidR="00047943" w:rsidRPr="006B700E">
        <w:rPr>
          <w:sz w:val="24"/>
          <w:szCs w:val="24"/>
        </w:rPr>
        <w:t xml:space="preserve"> </w:t>
      </w:r>
      <w:r w:rsidR="009E1169" w:rsidRPr="006B700E">
        <w:rPr>
          <w:sz w:val="24"/>
          <w:szCs w:val="24"/>
        </w:rPr>
        <w:t>036</w:t>
      </w:r>
      <w:r w:rsidR="00047943" w:rsidRPr="006B700E">
        <w:rPr>
          <w:sz w:val="24"/>
          <w:szCs w:val="24"/>
        </w:rPr>
        <w:t xml:space="preserve"> </w:t>
      </w:r>
      <w:r w:rsidR="009E1169" w:rsidRPr="006B700E">
        <w:rPr>
          <w:sz w:val="24"/>
          <w:szCs w:val="24"/>
        </w:rPr>
        <w:t xml:space="preserve">925 </w:t>
      </w:r>
      <w:r w:rsidR="00047943" w:rsidRPr="006B700E">
        <w:rPr>
          <w:sz w:val="24"/>
          <w:szCs w:val="24"/>
        </w:rPr>
        <w:t>Lekë</w:t>
      </w:r>
      <w:r w:rsidR="009E1169" w:rsidRPr="006B700E">
        <w:rPr>
          <w:sz w:val="24"/>
          <w:szCs w:val="24"/>
        </w:rPr>
        <w:t xml:space="preserve"> (271.5 milion</w:t>
      </w:r>
      <w:r w:rsidR="00047943" w:rsidRPr="006B700E">
        <w:rPr>
          <w:sz w:val="24"/>
          <w:szCs w:val="24"/>
        </w:rPr>
        <w:t xml:space="preserve"> dollarë</w:t>
      </w:r>
      <w:r w:rsidR="009E1169" w:rsidRPr="006B700E">
        <w:rPr>
          <w:sz w:val="24"/>
          <w:szCs w:val="24"/>
        </w:rPr>
        <w:t>)</w:t>
      </w:r>
      <w:r w:rsidR="00047943" w:rsidRPr="006B700E">
        <w:rPr>
          <w:sz w:val="24"/>
          <w:szCs w:val="24"/>
        </w:rPr>
        <w:t xml:space="preserve">. </w:t>
      </w:r>
      <w:r w:rsidR="00567D3D" w:rsidRPr="006B700E">
        <w:rPr>
          <w:sz w:val="24"/>
          <w:szCs w:val="24"/>
        </w:rPr>
        <w:t>Hetimi çoi në arrestimin e ish-</w:t>
      </w:r>
      <w:r w:rsidR="00EE2BE2" w:rsidRPr="006B700E">
        <w:rPr>
          <w:sz w:val="24"/>
          <w:szCs w:val="24"/>
        </w:rPr>
        <w:t>m</w:t>
      </w:r>
      <w:r w:rsidR="00567D3D" w:rsidRPr="006B700E">
        <w:rPr>
          <w:sz w:val="24"/>
          <w:szCs w:val="24"/>
        </w:rPr>
        <w:t xml:space="preserve">inistrit të </w:t>
      </w:r>
      <w:r w:rsidR="00EE2BE2" w:rsidRPr="006B700E">
        <w:rPr>
          <w:sz w:val="24"/>
          <w:szCs w:val="24"/>
        </w:rPr>
        <w:t>m</w:t>
      </w:r>
      <w:r w:rsidR="00567D3D" w:rsidRPr="006B700E">
        <w:rPr>
          <w:sz w:val="24"/>
          <w:szCs w:val="24"/>
        </w:rPr>
        <w:t xml:space="preserve">jedisit, </w:t>
      </w:r>
      <w:r w:rsidR="009E1169" w:rsidRPr="006B700E">
        <w:rPr>
          <w:sz w:val="24"/>
          <w:szCs w:val="24"/>
        </w:rPr>
        <w:t xml:space="preserve">Lefter Koka, </w:t>
      </w:r>
      <w:r w:rsidR="00567D3D" w:rsidRPr="006B700E">
        <w:rPr>
          <w:sz w:val="24"/>
          <w:szCs w:val="24"/>
        </w:rPr>
        <w:t xml:space="preserve">në dhjetor të vitit </w:t>
      </w:r>
      <w:r w:rsidR="009E1169" w:rsidRPr="006B700E">
        <w:rPr>
          <w:sz w:val="24"/>
          <w:szCs w:val="24"/>
        </w:rPr>
        <w:t xml:space="preserve">2021, </w:t>
      </w:r>
      <w:r w:rsidR="00567D3D" w:rsidRPr="006B700E">
        <w:rPr>
          <w:sz w:val="24"/>
          <w:szCs w:val="24"/>
        </w:rPr>
        <w:t xml:space="preserve">dhe ish-deputetit </w:t>
      </w:r>
      <w:r w:rsidR="009E1169" w:rsidRPr="006B700E">
        <w:rPr>
          <w:sz w:val="24"/>
          <w:szCs w:val="24"/>
        </w:rPr>
        <w:t xml:space="preserve">Alqi Bllako </w:t>
      </w:r>
      <w:r w:rsidR="00567D3D" w:rsidRPr="006B700E">
        <w:rPr>
          <w:sz w:val="24"/>
          <w:szCs w:val="24"/>
        </w:rPr>
        <w:t xml:space="preserve">në muajin mars. </w:t>
      </w:r>
    </w:p>
    <w:p w14:paraId="4309FEE4" w14:textId="333EF6DE" w:rsidR="009E1169" w:rsidRPr="006B700E" w:rsidRDefault="006E0368" w:rsidP="006E0368">
      <w:pPr>
        <w:rPr>
          <w:sz w:val="24"/>
          <w:szCs w:val="24"/>
        </w:rPr>
      </w:pPr>
      <w:r w:rsidRPr="006B700E">
        <w:rPr>
          <w:sz w:val="24"/>
          <w:szCs w:val="24"/>
        </w:rPr>
        <w:t xml:space="preserve">Në tetor të vitit </w:t>
      </w:r>
      <w:r w:rsidR="009E1169" w:rsidRPr="006B700E">
        <w:rPr>
          <w:sz w:val="24"/>
          <w:szCs w:val="24"/>
        </w:rPr>
        <w:t xml:space="preserve">2021, </w:t>
      </w:r>
      <w:r w:rsidRPr="006B700E">
        <w:rPr>
          <w:sz w:val="24"/>
          <w:szCs w:val="24"/>
        </w:rPr>
        <w:t xml:space="preserve">qeveria konsolidoi të gjitha agjencitë parandaluese kundër korrupsionit në një Drejtori Kundër Korrupsionit të varur nga Ministria e Drejtësisë. Agjencitë më parë i përgjigjeshin zyrës së kryeministrisë. Drejtoria Kundër Korrupsionit raportoi se hetimet rezultuan në </w:t>
      </w:r>
      <w:r w:rsidR="009E1169" w:rsidRPr="006B700E">
        <w:rPr>
          <w:sz w:val="24"/>
          <w:szCs w:val="24"/>
        </w:rPr>
        <w:t xml:space="preserve">261 </w:t>
      </w:r>
      <w:r w:rsidRPr="006B700E">
        <w:rPr>
          <w:sz w:val="24"/>
          <w:szCs w:val="24"/>
        </w:rPr>
        <w:t xml:space="preserve">masa administrative kundër zyrtarëve/punonjësve dhe akuza të tjera kriminale u referuan për ndjekje penale. </w:t>
      </w:r>
    </w:p>
    <w:p w14:paraId="71843CCD" w14:textId="0C4AA640" w:rsidR="009E1169" w:rsidRPr="006B700E" w:rsidRDefault="00840F98" w:rsidP="00DC4E0C">
      <w:pPr>
        <w:rPr>
          <w:sz w:val="24"/>
          <w:szCs w:val="24"/>
        </w:rPr>
      </w:pPr>
      <w:r w:rsidRPr="006B700E">
        <w:rPr>
          <w:sz w:val="24"/>
          <w:szCs w:val="24"/>
        </w:rPr>
        <w:t>Në muajin prill, Gjykata e Lartë hodhi poshtë një kërkesë për të pezulluar dënimin me burg për ish-prokurorin e përgjithshëm</w:t>
      </w:r>
      <w:r w:rsidR="00EE2BE2" w:rsidRPr="006B700E">
        <w:rPr>
          <w:sz w:val="24"/>
          <w:szCs w:val="24"/>
        </w:rPr>
        <w:t>,</w:t>
      </w:r>
      <w:r w:rsidRPr="006B700E">
        <w:rPr>
          <w:sz w:val="24"/>
          <w:szCs w:val="24"/>
        </w:rPr>
        <w:t xml:space="preserve"> </w:t>
      </w:r>
      <w:r w:rsidR="009E1169" w:rsidRPr="006B700E">
        <w:rPr>
          <w:sz w:val="24"/>
          <w:szCs w:val="24"/>
        </w:rPr>
        <w:t>Adriatik Llalla</w:t>
      </w:r>
      <w:r w:rsidR="00EE2BE2" w:rsidRPr="006B700E">
        <w:rPr>
          <w:sz w:val="24"/>
          <w:szCs w:val="24"/>
        </w:rPr>
        <w:t>,</w:t>
      </w:r>
      <w:r w:rsidRPr="006B700E">
        <w:rPr>
          <w:sz w:val="24"/>
          <w:szCs w:val="24"/>
        </w:rPr>
        <w:t xml:space="preserve"> të dënuar mbi akuza lidhur me korrupsionin në shtator të vitit 2021. Llalla </w:t>
      </w:r>
      <w:r w:rsidR="00DC4E0C" w:rsidRPr="006B700E">
        <w:rPr>
          <w:sz w:val="24"/>
          <w:szCs w:val="24"/>
        </w:rPr>
        <w:t>fillimisht u dënua me dy vite burgim dhe iu konfiskuan katër pjesë toke dhe një apartament në bregdet</w:t>
      </w:r>
      <w:r w:rsidR="009E1169" w:rsidRPr="006B700E">
        <w:rPr>
          <w:sz w:val="24"/>
          <w:szCs w:val="24"/>
        </w:rPr>
        <w:t xml:space="preserve">, </w:t>
      </w:r>
      <w:r w:rsidR="00DC4E0C" w:rsidRPr="006B700E">
        <w:rPr>
          <w:sz w:val="24"/>
          <w:szCs w:val="24"/>
        </w:rPr>
        <w:t xml:space="preserve">me vlerë </w:t>
      </w:r>
      <w:r w:rsidR="009E1169" w:rsidRPr="006B700E">
        <w:rPr>
          <w:sz w:val="24"/>
          <w:szCs w:val="24"/>
        </w:rPr>
        <w:t>106</w:t>
      </w:r>
      <w:r w:rsidR="00DC4E0C" w:rsidRPr="006B700E">
        <w:rPr>
          <w:sz w:val="24"/>
          <w:szCs w:val="24"/>
        </w:rPr>
        <w:t xml:space="preserve"> </w:t>
      </w:r>
      <w:r w:rsidR="009E1169" w:rsidRPr="006B700E">
        <w:rPr>
          <w:sz w:val="24"/>
          <w:szCs w:val="24"/>
        </w:rPr>
        <w:t>950</w:t>
      </w:r>
      <w:r w:rsidR="00DC4E0C" w:rsidRPr="006B700E">
        <w:rPr>
          <w:sz w:val="24"/>
          <w:szCs w:val="24"/>
        </w:rPr>
        <w:t xml:space="preserve"> </w:t>
      </w:r>
      <w:r w:rsidR="009E1169" w:rsidRPr="006B700E">
        <w:rPr>
          <w:sz w:val="24"/>
          <w:szCs w:val="24"/>
        </w:rPr>
        <w:t xml:space="preserve">000 </w:t>
      </w:r>
      <w:r w:rsidR="00DC4E0C" w:rsidRPr="006B700E">
        <w:rPr>
          <w:sz w:val="24"/>
          <w:szCs w:val="24"/>
        </w:rPr>
        <w:t>Lekë</w:t>
      </w:r>
      <w:r w:rsidR="009E1169" w:rsidRPr="006B700E">
        <w:rPr>
          <w:sz w:val="24"/>
          <w:szCs w:val="24"/>
        </w:rPr>
        <w:t xml:space="preserve"> (1 milion</w:t>
      </w:r>
      <w:r w:rsidR="00DC4E0C" w:rsidRPr="006B700E">
        <w:rPr>
          <w:sz w:val="24"/>
          <w:szCs w:val="24"/>
        </w:rPr>
        <w:t xml:space="preserve"> dollarë</w:t>
      </w:r>
      <w:r w:rsidR="009E1169" w:rsidRPr="006B700E">
        <w:rPr>
          <w:sz w:val="24"/>
          <w:szCs w:val="24"/>
        </w:rPr>
        <w:t xml:space="preserve">), </w:t>
      </w:r>
      <w:r w:rsidR="00DC4E0C" w:rsidRPr="006B700E">
        <w:rPr>
          <w:sz w:val="24"/>
          <w:szCs w:val="24"/>
        </w:rPr>
        <w:t xml:space="preserve">të cilat u transferuan në pronësi të shtetit. </w:t>
      </w:r>
    </w:p>
    <w:p w14:paraId="791D8BB7" w14:textId="643371B2" w:rsidR="009E1169" w:rsidRPr="006B700E" w:rsidRDefault="00BF4CF5" w:rsidP="00BF4CF5">
      <w:pPr>
        <w:rPr>
          <w:sz w:val="24"/>
          <w:szCs w:val="24"/>
        </w:rPr>
      </w:pPr>
      <w:r w:rsidRPr="006B700E">
        <w:rPr>
          <w:sz w:val="24"/>
          <w:szCs w:val="24"/>
        </w:rPr>
        <w:t xml:space="preserve">Inspektorati i lartë i Deklarimit dhe Kontrollit të Pasurive dhe Konfliktit të Interesave raportoi se deri në muajin gusht kishte referuar gjashtë raste të reja për ndjekje penale, ku përfshihej një deputet, një prokuror, tre drejtorë në agjenci qeveritare dhe një administrator në kompani qeveritare. Akuzat përfshinin refuzim të deklarimit të pasurive, fshehje pasurie ose falsifikim të deklarimit të pasurive; pastrim parash dhe shmangie taksash. </w:t>
      </w:r>
    </w:p>
    <w:p w14:paraId="7D85E66F" w14:textId="3DE07D80" w:rsidR="009E1169" w:rsidRPr="006B700E" w:rsidRDefault="00BF4CF5" w:rsidP="009E1169">
      <w:pPr>
        <w:rPr>
          <w:color w:val="000000" w:themeColor="text1"/>
          <w:sz w:val="24"/>
          <w:szCs w:val="24"/>
        </w:rPr>
      </w:pPr>
      <w:r w:rsidRPr="006B700E">
        <w:rPr>
          <w:sz w:val="24"/>
          <w:szCs w:val="24"/>
        </w:rPr>
        <w:t xml:space="preserve">Korrupsioni në polici mbeti problem. Deri në muajin gusht, </w:t>
      </w:r>
      <w:r w:rsidR="009415B1" w:rsidRPr="006B700E">
        <w:rPr>
          <w:sz w:val="24"/>
          <w:szCs w:val="24"/>
        </w:rPr>
        <w:t xml:space="preserve">Agjencia e Mbikëqyrjes Policore mori </w:t>
      </w:r>
      <w:r w:rsidR="009E1169" w:rsidRPr="006B700E">
        <w:rPr>
          <w:sz w:val="24"/>
          <w:szCs w:val="24"/>
        </w:rPr>
        <w:t>1</w:t>
      </w:r>
      <w:r w:rsidR="009415B1" w:rsidRPr="006B700E">
        <w:rPr>
          <w:sz w:val="24"/>
          <w:szCs w:val="24"/>
        </w:rPr>
        <w:t xml:space="preserve"> </w:t>
      </w:r>
      <w:r w:rsidR="009E1169" w:rsidRPr="006B700E">
        <w:rPr>
          <w:sz w:val="24"/>
          <w:szCs w:val="24"/>
        </w:rPr>
        <w:t xml:space="preserve">707 </w:t>
      </w:r>
      <w:r w:rsidR="009415B1" w:rsidRPr="006B700E">
        <w:rPr>
          <w:sz w:val="24"/>
          <w:szCs w:val="24"/>
        </w:rPr>
        <w:t xml:space="preserve">ankesa ose akuza për korrupsionin e policisë. </w:t>
      </w:r>
    </w:p>
    <w:p w14:paraId="716B5900" w14:textId="77777777" w:rsidR="00C32B7B" w:rsidRPr="006B700E" w:rsidRDefault="00C32B7B" w:rsidP="00C32B7B">
      <w:pPr>
        <w:jc w:val="both"/>
      </w:pPr>
      <w:r w:rsidRPr="006B700E">
        <w:rPr>
          <w:b/>
        </w:rPr>
        <w:t xml:space="preserve">Seksioni 5. Qëndrimi qeveritar në lidhje me hetimin ndërkombëtar dhe joqeveritar të dyshimeve për abuzime me të drejtat e njeriut </w:t>
      </w:r>
    </w:p>
    <w:p w14:paraId="3E4248EA" w14:textId="77777777" w:rsidR="00C32B7B" w:rsidRPr="006B700E" w:rsidRDefault="00C32B7B" w:rsidP="00C32B7B">
      <w:pPr>
        <w:jc w:val="both"/>
        <w:rPr>
          <w:sz w:val="24"/>
          <w:szCs w:val="24"/>
        </w:rPr>
      </w:pPr>
      <w:r w:rsidRPr="006B700E">
        <w:rPr>
          <w:sz w:val="24"/>
          <w:szCs w:val="24"/>
        </w:rPr>
        <w:t xml:space="preserve">Grupet vendase dhe ndërkombëtare për të drejtat e njeriut vepruan në përgjithësi pa kufizime nga qeveria, duke hetuar dhe publikuar gjetjet e tyre mbi çështje të të drejtave të njeriut. Punonjësit qeveritarë në përgjithësi ishin bashkëpunues dhe reaguan ndaj këndvështrimeve të tyre. </w:t>
      </w:r>
    </w:p>
    <w:p w14:paraId="61081A6A" w14:textId="6DED5431" w:rsidR="00A94FBE" w:rsidRPr="006B700E" w:rsidRDefault="00A94FBE" w:rsidP="00A94FBE">
      <w:pPr>
        <w:jc w:val="both"/>
        <w:rPr>
          <w:sz w:val="24"/>
          <w:szCs w:val="24"/>
        </w:rPr>
      </w:pPr>
      <w:r w:rsidRPr="006B700E">
        <w:rPr>
          <w:b/>
          <w:sz w:val="24"/>
          <w:szCs w:val="24"/>
        </w:rPr>
        <w:t>Organizma qeveritare të të drejtave të njeriut:</w:t>
      </w:r>
      <w:r w:rsidRPr="006B700E">
        <w:rPr>
          <w:sz w:val="24"/>
          <w:szCs w:val="24"/>
        </w:rPr>
        <w:t xml:space="preserve"> Zyra e Avokatit të Popullit është institucioni </w:t>
      </w:r>
      <w:r w:rsidRPr="006B700E">
        <w:rPr>
          <w:sz w:val="24"/>
          <w:szCs w:val="24"/>
        </w:rPr>
        <w:lastRenderedPageBreak/>
        <w:t xml:space="preserve">kryesor i pavarur për promovimin dhe zbatimin e të drejtave të njeriut. Ky institucion autorizohet nga ligji të monitorojë dhe të raportojë për burgjet dhe qendrat e paraburgimit dhe të kryejë hetime administrative për ankesat nga qytetarët. Megjithëse Zyra e Avokatit të Popullit nuk pati pushtetin të zbatonte vendimet e marra, ajo veproi si monitoruese e akuzave për abuzime me të drejtat e njeriut dhe institucionet bënë përpjekje të përmbushnin rekomandimet e dhëna nga kjo zyrë. DPB-ja raportoi krijimin e </w:t>
      </w:r>
      <w:r w:rsidR="00C44EA1" w:rsidRPr="006B700E">
        <w:rPr>
          <w:sz w:val="24"/>
          <w:szCs w:val="24"/>
        </w:rPr>
        <w:t xml:space="preserve">grupeve të posaçme të punës për të vijuar me secilin rekomandim të avokatit të popullit në lidhje me kushtet në burgje. </w:t>
      </w:r>
    </w:p>
    <w:p w14:paraId="5374F7D5" w14:textId="4CD6B812" w:rsidR="009E1169" w:rsidRPr="006B700E" w:rsidRDefault="00A94FBE" w:rsidP="00C44EA1">
      <w:pPr>
        <w:jc w:val="both"/>
        <w:rPr>
          <w:sz w:val="24"/>
          <w:szCs w:val="24"/>
        </w:rPr>
      </w:pPr>
      <w:r w:rsidRPr="006B700E">
        <w:rPr>
          <w:sz w:val="24"/>
          <w:szCs w:val="24"/>
        </w:rPr>
        <w:t xml:space="preserve">Kuvendi ka komisione për çështjet ligjore, administratën publike dhe të drejtat e njeriut, të cilat vlerësojnë raportin vjetor të Zyrës së Avokatit të Popullit. Komisioni ishte i përfshirë dhe i efektshëm në çështjet ligjore. </w:t>
      </w:r>
      <w:r w:rsidR="00C44EA1" w:rsidRPr="006B700E">
        <w:rPr>
          <w:sz w:val="24"/>
          <w:szCs w:val="24"/>
        </w:rPr>
        <w:t>Gjatë vitit parlament</w:t>
      </w:r>
      <w:r w:rsidR="006B1027" w:rsidRPr="006B700E">
        <w:rPr>
          <w:sz w:val="24"/>
          <w:szCs w:val="24"/>
        </w:rPr>
        <w:t>i</w:t>
      </w:r>
      <w:r w:rsidR="00C44EA1" w:rsidRPr="006B700E">
        <w:rPr>
          <w:sz w:val="24"/>
          <w:szCs w:val="24"/>
        </w:rPr>
        <w:t xml:space="preserve"> nisi procedurat për të zgjedhur avokatin e ri të popullit. </w:t>
      </w:r>
    </w:p>
    <w:p w14:paraId="17A75027" w14:textId="77777777" w:rsidR="00FF5B7C" w:rsidRPr="006B700E" w:rsidRDefault="00FF5B7C" w:rsidP="00FF5B7C">
      <w:pPr>
        <w:jc w:val="both"/>
        <w:rPr>
          <w:sz w:val="32"/>
          <w:szCs w:val="32"/>
        </w:rPr>
      </w:pPr>
      <w:r w:rsidRPr="006B700E">
        <w:rPr>
          <w:b/>
          <w:sz w:val="32"/>
          <w:szCs w:val="32"/>
        </w:rPr>
        <w:t xml:space="preserve">Seksioni 6. Diskriminimi dhe abuzimet shoqërore </w:t>
      </w:r>
    </w:p>
    <w:p w14:paraId="08BAAFF4" w14:textId="77777777" w:rsidR="00FF5B7C" w:rsidRPr="006B700E" w:rsidRDefault="00FF5B7C" w:rsidP="00FF5B7C">
      <w:pPr>
        <w:jc w:val="both"/>
        <w:rPr>
          <w:b/>
        </w:rPr>
      </w:pPr>
      <w:r w:rsidRPr="006B700E">
        <w:rPr>
          <w:b/>
        </w:rPr>
        <w:t xml:space="preserve">Gratë  </w:t>
      </w:r>
    </w:p>
    <w:p w14:paraId="7CFCD790" w14:textId="19A2CD77" w:rsidR="00FF5B7C" w:rsidRPr="006B700E" w:rsidRDefault="00FF5B7C" w:rsidP="00FF5B7C">
      <w:pPr>
        <w:jc w:val="both"/>
        <w:rPr>
          <w:sz w:val="24"/>
          <w:szCs w:val="24"/>
        </w:rPr>
      </w:pPr>
      <w:r w:rsidRPr="006B700E">
        <w:rPr>
          <w:b/>
          <w:sz w:val="24"/>
          <w:szCs w:val="24"/>
        </w:rPr>
        <w:t>Përdhunimi dhe dhuna në familje:</w:t>
      </w:r>
      <w:r w:rsidRPr="006B700E">
        <w:rPr>
          <w:sz w:val="24"/>
          <w:szCs w:val="24"/>
        </w:rPr>
        <w:t xml:space="preserve"> Përdhunimi, përfshirë përdhunimin nga bashkëshorti dhe përdhunimin e një personi, pavarësisht gjinisë, përbën krim; ligji përfshin gjithashtu dispozita për ngacmimin seksual. Ndëshkimet për përdhunim dhe sulm seksual varen nga mosha e viktimës. Për përdhunimin e një të rrituri, ndëshkimi është nga tre deri në 10 vite burgim. Qeveria nuk e zbatoi efektshëm ligjin. Autoritetet nuk i morën parasysh të dhënat për të reflektuar procedimet për përdhunim nga bashkëshorti. Koncepti i përdhunimit bashkëshortor nuk kuptohej mirë dhe autoritetet shpesh nuk e konsideronin atë si krim. </w:t>
      </w:r>
    </w:p>
    <w:p w14:paraId="4F34377E" w14:textId="08DAE232" w:rsidR="00972F07" w:rsidRPr="006B700E" w:rsidRDefault="00037B79" w:rsidP="009E1169">
      <w:pPr>
        <w:rPr>
          <w:sz w:val="24"/>
          <w:szCs w:val="24"/>
        </w:rPr>
      </w:pPr>
      <w:r w:rsidRPr="006B700E">
        <w:rPr>
          <w:sz w:val="24"/>
          <w:szCs w:val="24"/>
        </w:rPr>
        <w:t xml:space="preserve">Dhuna në familje ose dhuna nga partneri intim është krim, me dënime deri në tri vite burgim. Ligji për dhunën në familje </w:t>
      </w:r>
      <w:r w:rsidR="00972F07" w:rsidRPr="006B700E">
        <w:rPr>
          <w:sz w:val="24"/>
          <w:szCs w:val="24"/>
        </w:rPr>
        <w:t xml:space="preserve">u jep mbrojtje viktimave dhe garanton lëshimin e urdhrit të mbrojtjes i cili mbulon automatikisht edhe fëmijët. Qeveria e zbatoi efektshëm ligjin. Ministria e Shëndetësisë dhe Mbrojtjes Sociale kreu disa trajnime për dhunën në familje me punonjës policie, prokurorë, gjyqtarë dhe shërbime sociale për të shtuar kapacitetet njerëzore të </w:t>
      </w:r>
      <w:r w:rsidR="009E1169" w:rsidRPr="006B700E">
        <w:rPr>
          <w:sz w:val="24"/>
          <w:szCs w:val="24"/>
        </w:rPr>
        <w:t xml:space="preserve">50 </w:t>
      </w:r>
      <w:r w:rsidR="00972F07" w:rsidRPr="006B700E">
        <w:rPr>
          <w:sz w:val="24"/>
          <w:szCs w:val="24"/>
        </w:rPr>
        <w:t>mekani</w:t>
      </w:r>
      <w:r w:rsidR="006B1027" w:rsidRPr="006B700E">
        <w:rPr>
          <w:sz w:val="24"/>
          <w:szCs w:val="24"/>
        </w:rPr>
        <w:t>z</w:t>
      </w:r>
      <w:r w:rsidR="00972F07" w:rsidRPr="006B700E">
        <w:rPr>
          <w:sz w:val="24"/>
          <w:szCs w:val="24"/>
        </w:rPr>
        <w:t>ma</w:t>
      </w:r>
      <w:r w:rsidR="006B1027" w:rsidRPr="006B700E">
        <w:rPr>
          <w:sz w:val="24"/>
          <w:szCs w:val="24"/>
        </w:rPr>
        <w:t>ve</w:t>
      </w:r>
      <w:r w:rsidR="00972F07" w:rsidRPr="006B700E">
        <w:rPr>
          <w:sz w:val="24"/>
          <w:szCs w:val="24"/>
        </w:rPr>
        <w:t xml:space="preserve"> vendore të referimit për dhunë në familje. Policia administroi një proces aplikimi të automatizuar brenda sistemit të menaxhimit të rasteve në polici i cili lejonte lëshimin e menjëhershëm të urdhrave të mbrojtjes dhe nxori një numër rekord urdhrash mbrojtjeje. </w:t>
      </w:r>
    </w:p>
    <w:p w14:paraId="139E4141" w14:textId="3184A73A" w:rsidR="00C42781" w:rsidRPr="006B700E" w:rsidRDefault="00832DC4" w:rsidP="00C42781">
      <w:pPr>
        <w:rPr>
          <w:sz w:val="24"/>
          <w:szCs w:val="24"/>
        </w:rPr>
      </w:pPr>
      <w:r w:rsidRPr="006B700E">
        <w:rPr>
          <w:sz w:val="24"/>
          <w:szCs w:val="24"/>
        </w:rPr>
        <w:t xml:space="preserve">Deri në muajin shtator, policia raportoi </w:t>
      </w:r>
      <w:r w:rsidR="009E1169" w:rsidRPr="006B700E">
        <w:rPr>
          <w:sz w:val="24"/>
          <w:szCs w:val="24"/>
        </w:rPr>
        <w:t>4</w:t>
      </w:r>
      <w:r w:rsidRPr="006B700E">
        <w:rPr>
          <w:sz w:val="24"/>
          <w:szCs w:val="24"/>
        </w:rPr>
        <w:t xml:space="preserve"> </w:t>
      </w:r>
      <w:r w:rsidR="009E1169" w:rsidRPr="006B700E">
        <w:rPr>
          <w:sz w:val="24"/>
          <w:szCs w:val="24"/>
        </w:rPr>
        <w:t xml:space="preserve">136 </w:t>
      </w:r>
      <w:r w:rsidRPr="006B700E">
        <w:rPr>
          <w:sz w:val="24"/>
          <w:szCs w:val="24"/>
        </w:rPr>
        <w:t xml:space="preserve">raste </w:t>
      </w:r>
      <w:r w:rsidR="00DE728E" w:rsidRPr="006B700E">
        <w:rPr>
          <w:sz w:val="24"/>
          <w:szCs w:val="24"/>
        </w:rPr>
        <w:t xml:space="preserve">me akuza për dhunë me bazë gjinore, </w:t>
      </w:r>
      <w:r w:rsidR="00C42781" w:rsidRPr="006B700E">
        <w:rPr>
          <w:sz w:val="24"/>
          <w:szCs w:val="24"/>
        </w:rPr>
        <w:lastRenderedPageBreak/>
        <w:t xml:space="preserve">përfshirë edhe krime të tjera brenda familjes. Në </w:t>
      </w:r>
      <w:r w:rsidR="009E1169" w:rsidRPr="006B700E">
        <w:rPr>
          <w:sz w:val="24"/>
          <w:szCs w:val="24"/>
        </w:rPr>
        <w:t>2</w:t>
      </w:r>
      <w:r w:rsidR="00C42781" w:rsidRPr="006B700E">
        <w:rPr>
          <w:sz w:val="24"/>
          <w:szCs w:val="24"/>
        </w:rPr>
        <w:t xml:space="preserve"> </w:t>
      </w:r>
      <w:r w:rsidR="009E1169" w:rsidRPr="006B700E">
        <w:rPr>
          <w:sz w:val="24"/>
          <w:szCs w:val="24"/>
        </w:rPr>
        <w:t xml:space="preserve">402 </w:t>
      </w:r>
      <w:r w:rsidR="00C42781" w:rsidRPr="006B700E">
        <w:rPr>
          <w:sz w:val="24"/>
          <w:szCs w:val="24"/>
        </w:rPr>
        <w:t xml:space="preserve">raste, policia kërkoi urdhra mbrojtjeje për të ndihmuar viktimat. OJQ-të raportuan nivele të larta të dhunës me bazë gjinore, përfshirë dhunë në familje. Deri në muajin shtator, shtatë gra ishin vrarë nga partnerët e tyre ose nga familjarë. </w:t>
      </w:r>
    </w:p>
    <w:p w14:paraId="3FDD005A" w14:textId="1B73C462" w:rsidR="00AC2339" w:rsidRPr="006B700E" w:rsidRDefault="00AC2339" w:rsidP="009E1169">
      <w:pPr>
        <w:rPr>
          <w:rFonts w:eastAsia="MS Mincho"/>
          <w:sz w:val="24"/>
          <w:szCs w:val="24"/>
        </w:rPr>
      </w:pPr>
      <w:r w:rsidRPr="006B700E">
        <w:rPr>
          <w:sz w:val="24"/>
          <w:szCs w:val="24"/>
        </w:rPr>
        <w:t xml:space="preserve">Ministria e Shëndetësisë dhe Mbrojtjes Sociale raportoi se deri në muajin tetor, kishte një numër prej </w:t>
      </w:r>
      <w:r w:rsidR="009E1169" w:rsidRPr="006B700E">
        <w:rPr>
          <w:rFonts w:eastAsia="MS Mincho"/>
          <w:sz w:val="24"/>
          <w:szCs w:val="24"/>
        </w:rPr>
        <w:t xml:space="preserve">87 </w:t>
      </w:r>
      <w:r w:rsidRPr="006B700E">
        <w:rPr>
          <w:rFonts w:eastAsia="MS Mincho"/>
          <w:sz w:val="24"/>
          <w:szCs w:val="24"/>
        </w:rPr>
        <w:t xml:space="preserve">rastesh të dhunës në familje që merrnin shërbime në Qendrën Kombëtare të </w:t>
      </w:r>
      <w:r w:rsidR="006B2DC1" w:rsidRPr="006B700E">
        <w:rPr>
          <w:rFonts w:eastAsia="MS Mincho"/>
          <w:sz w:val="24"/>
          <w:szCs w:val="24"/>
        </w:rPr>
        <w:t xml:space="preserve">Trajtimit për Viktimat e </w:t>
      </w:r>
      <w:r w:rsidRPr="006B700E">
        <w:rPr>
          <w:rFonts w:eastAsia="MS Mincho"/>
          <w:sz w:val="24"/>
          <w:szCs w:val="24"/>
        </w:rPr>
        <w:t>Dhunë</w:t>
      </w:r>
      <w:r w:rsidR="006B2DC1" w:rsidRPr="006B700E">
        <w:rPr>
          <w:rFonts w:eastAsia="MS Mincho"/>
          <w:sz w:val="24"/>
          <w:szCs w:val="24"/>
        </w:rPr>
        <w:t>s</w:t>
      </w:r>
      <w:r w:rsidRPr="006B700E">
        <w:rPr>
          <w:rFonts w:eastAsia="MS Mincho"/>
          <w:sz w:val="24"/>
          <w:szCs w:val="24"/>
        </w:rPr>
        <w:t xml:space="preserve"> në Familje.</w:t>
      </w:r>
      <w:r w:rsidR="006B2DC1" w:rsidRPr="006B700E">
        <w:rPr>
          <w:rFonts w:eastAsia="MS Mincho"/>
          <w:sz w:val="24"/>
          <w:szCs w:val="24"/>
        </w:rPr>
        <w:t xml:space="preserve"> Ministria e Shëndetësisë dhe Mbrojtjes Sociale raportuan se</w:t>
      </w:r>
      <w:r w:rsidR="006B1027" w:rsidRPr="006B700E">
        <w:rPr>
          <w:rFonts w:eastAsia="MS Mincho"/>
          <w:sz w:val="24"/>
          <w:szCs w:val="24"/>
        </w:rPr>
        <w:t>,</w:t>
      </w:r>
      <w:r w:rsidR="006B2DC1" w:rsidRPr="006B700E">
        <w:rPr>
          <w:rFonts w:eastAsia="MS Mincho"/>
          <w:sz w:val="24"/>
          <w:szCs w:val="24"/>
        </w:rPr>
        <w:t xml:space="preserve"> duke nisur nga janari</w:t>
      </w:r>
      <w:r w:rsidR="006B1027" w:rsidRPr="006B700E">
        <w:rPr>
          <w:rFonts w:eastAsia="MS Mincho"/>
          <w:sz w:val="24"/>
          <w:szCs w:val="24"/>
        </w:rPr>
        <w:t>,</w:t>
      </w:r>
      <w:r w:rsidR="006B2DC1" w:rsidRPr="006B700E">
        <w:rPr>
          <w:rFonts w:eastAsia="MS Mincho"/>
          <w:sz w:val="24"/>
          <w:szCs w:val="24"/>
        </w:rPr>
        <w:t xml:space="preserve"> viktimat e dhunës në familje të cilët kishin urdhra mbrojtjeje morën më shumë ndihmë ekonomike nga qeveria. Familjet me tre ose më shumë fëmijë morën dyfishin e ndihmës ekonomike krahasuar me vitin paraardhës.   </w:t>
      </w:r>
      <w:r w:rsidRPr="006B700E">
        <w:rPr>
          <w:rFonts w:eastAsia="MS Mincho"/>
          <w:sz w:val="24"/>
          <w:szCs w:val="24"/>
        </w:rPr>
        <w:t xml:space="preserve"> </w:t>
      </w:r>
    </w:p>
    <w:p w14:paraId="35C059FE" w14:textId="4EF38228" w:rsidR="009E1169" w:rsidRPr="006B700E" w:rsidRDefault="007929BE" w:rsidP="007929BE">
      <w:pPr>
        <w:rPr>
          <w:rFonts w:eastAsia="MS Mincho"/>
          <w:sz w:val="24"/>
          <w:szCs w:val="24"/>
        </w:rPr>
      </w:pPr>
      <w:r w:rsidRPr="006B700E">
        <w:rPr>
          <w:rFonts w:eastAsia="MS Mincho"/>
          <w:sz w:val="24"/>
          <w:szCs w:val="24"/>
        </w:rPr>
        <w:t>“</w:t>
      </w:r>
      <w:r w:rsidR="009E1169" w:rsidRPr="006B700E">
        <w:rPr>
          <w:rFonts w:eastAsia="MS Mincho"/>
          <w:sz w:val="24"/>
          <w:szCs w:val="24"/>
        </w:rPr>
        <w:t>Nisma ARSIS</w:t>
      </w:r>
      <w:r w:rsidRPr="006B700E">
        <w:rPr>
          <w:rFonts w:eastAsia="MS Mincho"/>
          <w:sz w:val="24"/>
          <w:szCs w:val="24"/>
        </w:rPr>
        <w:t>” raportoi rritje të numrit të viktimave të dhunës në familje nënë dhe fëmijë dhe të abuzimit seksual në krahasim me vitin paraardhës. “</w:t>
      </w:r>
      <w:r w:rsidR="009E1169" w:rsidRPr="006B700E">
        <w:rPr>
          <w:rFonts w:eastAsia="MS Mincho"/>
          <w:sz w:val="24"/>
          <w:szCs w:val="24"/>
        </w:rPr>
        <w:t>Nisma ARSIS</w:t>
      </w:r>
      <w:r w:rsidRPr="006B700E">
        <w:rPr>
          <w:rFonts w:eastAsia="MS Mincho"/>
          <w:sz w:val="24"/>
          <w:szCs w:val="24"/>
        </w:rPr>
        <w:t xml:space="preserve">” asistoi </w:t>
      </w:r>
      <w:r w:rsidR="009E1169" w:rsidRPr="006B700E">
        <w:rPr>
          <w:rFonts w:eastAsia="MS Mincho"/>
          <w:sz w:val="24"/>
          <w:szCs w:val="24"/>
        </w:rPr>
        <w:t xml:space="preserve">117 </w:t>
      </w:r>
      <w:r w:rsidRPr="006B700E">
        <w:rPr>
          <w:rFonts w:eastAsia="MS Mincho"/>
          <w:sz w:val="24"/>
          <w:szCs w:val="24"/>
        </w:rPr>
        <w:t xml:space="preserve">raste të viktimave të dhunës në familje fëmijë dhe gra në periudhën </w:t>
      </w:r>
      <w:r w:rsidR="009E1169" w:rsidRPr="006B700E">
        <w:rPr>
          <w:rFonts w:eastAsia="MS Mincho"/>
          <w:sz w:val="24"/>
          <w:szCs w:val="24"/>
        </w:rPr>
        <w:t xml:space="preserve">2021-2022. </w:t>
      </w:r>
      <w:r w:rsidRPr="006B700E">
        <w:rPr>
          <w:rFonts w:eastAsia="MS Mincho"/>
          <w:sz w:val="24"/>
          <w:szCs w:val="24"/>
        </w:rPr>
        <w:t>“</w:t>
      </w:r>
      <w:r w:rsidR="009E1169" w:rsidRPr="006B700E">
        <w:rPr>
          <w:rFonts w:eastAsia="MS Mincho"/>
          <w:sz w:val="24"/>
          <w:szCs w:val="24"/>
        </w:rPr>
        <w:t>Nisma ARSIS</w:t>
      </w:r>
      <w:r w:rsidRPr="006B700E">
        <w:rPr>
          <w:rFonts w:eastAsia="MS Mincho"/>
          <w:sz w:val="24"/>
          <w:szCs w:val="24"/>
        </w:rPr>
        <w:t xml:space="preserve">” raportoi gjithashtu se ndihmoi </w:t>
      </w:r>
      <w:r w:rsidR="009E1169" w:rsidRPr="006B700E">
        <w:rPr>
          <w:rFonts w:eastAsia="MS Mincho"/>
          <w:sz w:val="24"/>
          <w:szCs w:val="24"/>
        </w:rPr>
        <w:t xml:space="preserve">63 </w:t>
      </w:r>
      <w:r w:rsidRPr="006B700E">
        <w:rPr>
          <w:rFonts w:eastAsia="MS Mincho"/>
          <w:sz w:val="24"/>
          <w:szCs w:val="24"/>
        </w:rPr>
        <w:t xml:space="preserve">fëmijë të cilët </w:t>
      </w:r>
      <w:r w:rsidR="009356DA" w:rsidRPr="006B700E">
        <w:rPr>
          <w:rFonts w:eastAsia="MS Mincho"/>
          <w:sz w:val="24"/>
          <w:szCs w:val="24"/>
        </w:rPr>
        <w:t>kishin shkuar në</w:t>
      </w:r>
      <w:r w:rsidRPr="006B700E">
        <w:rPr>
          <w:rFonts w:eastAsia="MS Mincho"/>
          <w:sz w:val="24"/>
          <w:szCs w:val="24"/>
        </w:rPr>
        <w:t xml:space="preserve"> rajonet e policisë pasi kishin përjetuar </w:t>
      </w:r>
      <w:r w:rsidR="009356DA" w:rsidRPr="006B700E">
        <w:rPr>
          <w:rFonts w:eastAsia="MS Mincho"/>
          <w:sz w:val="24"/>
          <w:szCs w:val="24"/>
        </w:rPr>
        <w:t xml:space="preserve">ose kishin qenë dëshmitarë të dhunës në shtëpitë e tyre. </w:t>
      </w:r>
    </w:p>
    <w:p w14:paraId="59557000" w14:textId="0EF7FFBF" w:rsidR="009356DA" w:rsidRPr="006B700E" w:rsidRDefault="009356DA" w:rsidP="009356DA">
      <w:pPr>
        <w:jc w:val="both"/>
        <w:rPr>
          <w:sz w:val="24"/>
          <w:szCs w:val="24"/>
        </w:rPr>
      </w:pPr>
      <w:r w:rsidRPr="006B700E">
        <w:rPr>
          <w:b/>
          <w:sz w:val="24"/>
          <w:szCs w:val="24"/>
        </w:rPr>
        <w:t>Ngacmimi seksual:</w:t>
      </w:r>
      <w:r w:rsidRPr="006B700E">
        <w:rPr>
          <w:sz w:val="24"/>
          <w:szCs w:val="24"/>
        </w:rPr>
        <w:t xml:space="preserve"> Ligji ndalon ngacmimin seksual, por zyrtarët rrallë e zbatuan këtë. Komisioneri për Mbrojtjen nga Diskriminimi në përgjithësi administroi raste të ngacmimit seksual dhe mundi të vendoste gjoba. Policia raportoi 33 raste ngacmimi seksual deri në muajin shtator. </w:t>
      </w:r>
    </w:p>
    <w:p w14:paraId="3DB68B0A" w14:textId="77777777" w:rsidR="009356DA" w:rsidRPr="006B700E" w:rsidRDefault="009356DA" w:rsidP="009356DA">
      <w:pPr>
        <w:jc w:val="both"/>
        <w:rPr>
          <w:sz w:val="24"/>
          <w:szCs w:val="24"/>
        </w:rPr>
      </w:pPr>
      <w:r w:rsidRPr="006B700E">
        <w:rPr>
          <w:b/>
          <w:sz w:val="24"/>
          <w:szCs w:val="24"/>
        </w:rPr>
        <w:t>Të drejtat riprodhuese:</w:t>
      </w:r>
      <w:r w:rsidRPr="006B700E">
        <w:rPr>
          <w:sz w:val="24"/>
          <w:szCs w:val="24"/>
        </w:rPr>
        <w:t xml:space="preserve"> Nuk pati raportime për aborte me detyrim apo sterilizim të pavullnetshëm nga ana e autoriteteve qeveritare. </w:t>
      </w:r>
    </w:p>
    <w:p w14:paraId="610A99C7" w14:textId="192CC7B3" w:rsidR="009E1169" w:rsidRPr="006B700E" w:rsidRDefault="009356DA" w:rsidP="009356DA">
      <w:pPr>
        <w:rPr>
          <w:color w:val="333333"/>
          <w:sz w:val="24"/>
          <w:szCs w:val="24"/>
        </w:rPr>
      </w:pPr>
      <w:r w:rsidRPr="006B700E">
        <w:rPr>
          <w:sz w:val="24"/>
          <w:szCs w:val="24"/>
        </w:rPr>
        <w:t xml:space="preserve">Ndonëse nuk ka pengesa ligjore për të siguruar kontraceptivë, të cilët u jepeshin falas grave të siguruara, gratë dhe vajzat shpesh nuk patën akses në shërbime për një sërë arsyesh, përfshirë frikë stigmatizimi nga ofruesit e shërbimeve </w:t>
      </w:r>
      <w:r w:rsidR="00F16B31" w:rsidRPr="006B700E">
        <w:rPr>
          <w:sz w:val="24"/>
          <w:szCs w:val="24"/>
        </w:rPr>
        <w:t xml:space="preserve">dhe të kujdesit </w:t>
      </w:r>
      <w:r w:rsidRPr="006B700E">
        <w:rPr>
          <w:sz w:val="24"/>
          <w:szCs w:val="24"/>
        </w:rPr>
        <w:t>shëndetësor dhe nga pjesëtarët e komuniteteve të tyre. Disa gra dhe vajza, veçanërisht ato që jetonin në zona të thella</w:t>
      </w:r>
      <w:r w:rsidR="009E1169" w:rsidRPr="006B700E">
        <w:rPr>
          <w:sz w:val="24"/>
          <w:szCs w:val="24"/>
        </w:rPr>
        <w:t>,</w:t>
      </w:r>
      <w:r w:rsidRPr="006B700E">
        <w:rPr>
          <w:sz w:val="24"/>
          <w:szCs w:val="24"/>
        </w:rPr>
        <w:t xml:space="preserve"> u përballën me sfida në sigurimin e shërbimeve thelbësore të shëndetit seksual dhe riprodhues. </w:t>
      </w:r>
      <w:r w:rsidR="00096372" w:rsidRPr="006B700E">
        <w:rPr>
          <w:sz w:val="24"/>
          <w:szCs w:val="24"/>
        </w:rPr>
        <w:t>Gratë nga komunitete historikisht të marxhinalizuara, përfshirë gratë me aftësi të kufizuara, personat lesbike, homoseksuale, biseksuale, tran</w:t>
      </w:r>
      <w:r w:rsidR="00F16B31" w:rsidRPr="006B700E">
        <w:rPr>
          <w:sz w:val="24"/>
          <w:szCs w:val="24"/>
        </w:rPr>
        <w:t>s</w:t>
      </w:r>
      <w:r w:rsidR="00096372" w:rsidRPr="006B700E">
        <w:rPr>
          <w:sz w:val="24"/>
          <w:szCs w:val="24"/>
        </w:rPr>
        <w:t xml:space="preserve">gjini, </w:t>
      </w:r>
      <w:r w:rsidR="00096372" w:rsidRPr="006B700E">
        <w:rPr>
          <w:i/>
          <w:iCs/>
          <w:sz w:val="24"/>
          <w:szCs w:val="24"/>
        </w:rPr>
        <w:t>queer</w:t>
      </w:r>
      <w:r w:rsidR="00096372" w:rsidRPr="006B700E">
        <w:rPr>
          <w:sz w:val="24"/>
          <w:szCs w:val="24"/>
        </w:rPr>
        <w:t xml:space="preserve"> dhe interseks</w:t>
      </w:r>
      <w:r w:rsidR="009E1169" w:rsidRPr="006B700E">
        <w:rPr>
          <w:sz w:val="24"/>
          <w:szCs w:val="24"/>
        </w:rPr>
        <w:t xml:space="preserve"> (LGBTQI+)</w:t>
      </w:r>
      <w:r w:rsidR="00096372" w:rsidRPr="006B700E">
        <w:rPr>
          <w:sz w:val="24"/>
          <w:szCs w:val="24"/>
        </w:rPr>
        <w:t>, gratë rome dhe egjiptian</w:t>
      </w:r>
      <w:r w:rsidR="00F16B31" w:rsidRPr="006B700E">
        <w:rPr>
          <w:sz w:val="24"/>
          <w:szCs w:val="24"/>
        </w:rPr>
        <w:t>e</w:t>
      </w:r>
      <w:r w:rsidR="00096372" w:rsidRPr="006B700E">
        <w:rPr>
          <w:sz w:val="24"/>
          <w:szCs w:val="24"/>
        </w:rPr>
        <w:t>-ballkan</w:t>
      </w:r>
      <w:r w:rsidR="00F16B31" w:rsidRPr="006B700E">
        <w:rPr>
          <w:sz w:val="24"/>
          <w:szCs w:val="24"/>
        </w:rPr>
        <w:t>ik</w:t>
      </w:r>
      <w:r w:rsidR="00096372" w:rsidRPr="006B700E">
        <w:rPr>
          <w:sz w:val="24"/>
          <w:szCs w:val="24"/>
        </w:rPr>
        <w:t xml:space="preserve">e, shpesh nuk kishin dijeni për të drejtat e tyre për shërbime të shëndetit riprodhues. </w:t>
      </w:r>
    </w:p>
    <w:p w14:paraId="3F658DF7" w14:textId="1DAD62E7" w:rsidR="00E02493" w:rsidRPr="006B700E" w:rsidRDefault="00B6445C" w:rsidP="00E02493">
      <w:pPr>
        <w:rPr>
          <w:color w:val="000000" w:themeColor="text1"/>
          <w:sz w:val="24"/>
          <w:szCs w:val="24"/>
        </w:rPr>
      </w:pPr>
      <w:r w:rsidRPr="006B700E">
        <w:rPr>
          <w:sz w:val="24"/>
          <w:szCs w:val="24"/>
        </w:rPr>
        <w:t xml:space="preserve">Ministria e Shëndetësisë dhe Mbrojtjes Sociale administroi Qendrën </w:t>
      </w:r>
      <w:r w:rsidR="00E428F0" w:rsidRPr="006B700E">
        <w:rPr>
          <w:sz w:val="24"/>
          <w:szCs w:val="24"/>
        </w:rPr>
        <w:t>“</w:t>
      </w:r>
      <w:r w:rsidRPr="006B700E">
        <w:rPr>
          <w:sz w:val="24"/>
          <w:szCs w:val="24"/>
        </w:rPr>
        <w:t>Lilium</w:t>
      </w:r>
      <w:r w:rsidR="00E428F0" w:rsidRPr="006B700E">
        <w:rPr>
          <w:sz w:val="24"/>
          <w:szCs w:val="24"/>
        </w:rPr>
        <w:t>”</w:t>
      </w:r>
      <w:r w:rsidRPr="006B700E">
        <w:rPr>
          <w:sz w:val="24"/>
          <w:szCs w:val="24"/>
        </w:rPr>
        <w:t xml:space="preserve"> në Tiranë me mbështetjen e Program</w:t>
      </w:r>
      <w:r w:rsidR="00E428F0" w:rsidRPr="006B700E">
        <w:rPr>
          <w:sz w:val="24"/>
          <w:szCs w:val="24"/>
        </w:rPr>
        <w:t>it</w:t>
      </w:r>
      <w:r w:rsidRPr="006B700E">
        <w:rPr>
          <w:sz w:val="24"/>
          <w:szCs w:val="24"/>
        </w:rPr>
        <w:t xml:space="preserve"> të Zhvillimit të </w:t>
      </w:r>
      <w:r w:rsidR="00E428F0" w:rsidRPr="006B700E">
        <w:rPr>
          <w:sz w:val="24"/>
          <w:szCs w:val="24"/>
        </w:rPr>
        <w:t>Kombeve të Bashkuara</w:t>
      </w:r>
      <w:r w:rsidRPr="006B700E">
        <w:rPr>
          <w:sz w:val="24"/>
          <w:szCs w:val="24"/>
        </w:rPr>
        <w:t xml:space="preserve"> për të siguruar shërbime të </w:t>
      </w:r>
      <w:r w:rsidRPr="006B700E">
        <w:rPr>
          <w:sz w:val="24"/>
          <w:szCs w:val="24"/>
        </w:rPr>
        <w:lastRenderedPageBreak/>
        <w:t>integruara për viktimat e dhunës seksuale. Qendra ishte në mjedise spitali dhe ofronte shërbime të kujdesit shëndetësor që përfshinin kontraceptiv</w:t>
      </w:r>
      <w:r w:rsidR="00F16B31" w:rsidRPr="006B700E">
        <w:rPr>
          <w:sz w:val="24"/>
          <w:szCs w:val="24"/>
        </w:rPr>
        <w:t>ë</w:t>
      </w:r>
      <w:r w:rsidRPr="006B700E">
        <w:rPr>
          <w:sz w:val="24"/>
          <w:szCs w:val="24"/>
        </w:rPr>
        <w:t xml:space="preserve"> emergjence, shërbime sociale dhe ekzaminime mjeko-ligjore në një vend të vetëm nga profesionistë të trajnuar për raste të dhunës seksuale. </w:t>
      </w:r>
      <w:r w:rsidR="00E02493" w:rsidRPr="006B700E">
        <w:rPr>
          <w:sz w:val="24"/>
          <w:szCs w:val="24"/>
        </w:rPr>
        <w:t>Viktimat në zonat e largëta të vendit nuk patën shumë mundësi për ndihmë dhe mbështetj</w:t>
      </w:r>
      <w:r w:rsidR="00F16B31" w:rsidRPr="006B700E">
        <w:rPr>
          <w:sz w:val="24"/>
          <w:szCs w:val="24"/>
        </w:rPr>
        <w:t xml:space="preserve">e </w:t>
      </w:r>
      <w:r w:rsidR="00E02493" w:rsidRPr="006B700E">
        <w:rPr>
          <w:sz w:val="24"/>
          <w:szCs w:val="24"/>
        </w:rPr>
        <w:t>në zonat e tyre. Përveçse kur identifikoheshin nga autoritetet dhe transportoheshin në Tiranë,</w:t>
      </w:r>
      <w:r w:rsidR="00F16B31" w:rsidRPr="006B700E">
        <w:rPr>
          <w:sz w:val="24"/>
          <w:szCs w:val="24"/>
        </w:rPr>
        <w:t xml:space="preserve"> normalisht</w:t>
      </w:r>
      <w:r w:rsidR="00E02493" w:rsidRPr="006B700E">
        <w:rPr>
          <w:sz w:val="24"/>
          <w:szCs w:val="24"/>
        </w:rPr>
        <w:t xml:space="preserve"> ata referoheshin për te strehët e viktimave të trafikimit. Qeveria ngriti dy qendra të tjera gjatë vitit, të specializuara </w:t>
      </w:r>
      <w:r w:rsidR="00F16B31" w:rsidRPr="006B700E">
        <w:rPr>
          <w:sz w:val="24"/>
          <w:szCs w:val="24"/>
        </w:rPr>
        <w:t>p</w:t>
      </w:r>
      <w:r w:rsidR="00E02493" w:rsidRPr="006B700E">
        <w:rPr>
          <w:sz w:val="24"/>
          <w:szCs w:val="24"/>
        </w:rPr>
        <w:t>ë</w:t>
      </w:r>
      <w:r w:rsidR="00F16B31" w:rsidRPr="006B700E">
        <w:rPr>
          <w:sz w:val="24"/>
          <w:szCs w:val="24"/>
        </w:rPr>
        <w:t>r</w:t>
      </w:r>
      <w:r w:rsidR="00E02493" w:rsidRPr="006B700E">
        <w:rPr>
          <w:sz w:val="24"/>
          <w:szCs w:val="24"/>
        </w:rPr>
        <w:t xml:space="preserve"> dhunën seksuale dhe format e rënda të dhunës ndaj fëmijëve, në Fier dhe në Shkodër. </w:t>
      </w:r>
    </w:p>
    <w:p w14:paraId="5643AA57" w14:textId="2AA25027" w:rsidR="00E428F0" w:rsidRPr="006B700E" w:rsidRDefault="00E428F0" w:rsidP="00E428F0">
      <w:pPr>
        <w:jc w:val="both"/>
        <w:rPr>
          <w:sz w:val="24"/>
          <w:szCs w:val="24"/>
        </w:rPr>
      </w:pPr>
      <w:bookmarkStart w:id="2" w:name="_Hlk24112627"/>
      <w:r w:rsidRPr="006B700E">
        <w:rPr>
          <w:b/>
          <w:sz w:val="24"/>
          <w:szCs w:val="24"/>
        </w:rPr>
        <w:t>Diskriminimi:</w:t>
      </w:r>
      <w:r w:rsidRPr="006B700E">
        <w:rPr>
          <w:sz w:val="24"/>
          <w:szCs w:val="24"/>
        </w:rPr>
        <w:t xml:space="preserve"> Ligji garanton status ligjor dhe të drejta të njëjta për gratë ashtu si edhe për burrat, përfshirë në ligjet për familjen, fenë, statusin personal dhe kombësin</w:t>
      </w:r>
      <w:r w:rsidR="002C5193" w:rsidRPr="006B700E">
        <w:rPr>
          <w:sz w:val="24"/>
          <w:szCs w:val="24"/>
        </w:rPr>
        <w:t xml:space="preserve">ë si edhe ligjet e punës, pronësisë, trashëgimisë, punësimit, </w:t>
      </w:r>
      <w:r w:rsidR="00F16B31" w:rsidRPr="006B700E">
        <w:rPr>
          <w:sz w:val="24"/>
          <w:szCs w:val="24"/>
        </w:rPr>
        <w:t>a</w:t>
      </w:r>
      <w:r w:rsidR="002C5193" w:rsidRPr="006B700E">
        <w:rPr>
          <w:sz w:val="24"/>
          <w:szCs w:val="24"/>
        </w:rPr>
        <w:t>ksesit në kredi dhe në pronësi ose menaxhimin e një biznesi apo prone.</w:t>
      </w:r>
      <w:r w:rsidRPr="006B700E">
        <w:rPr>
          <w:sz w:val="24"/>
          <w:szCs w:val="24"/>
        </w:rPr>
        <w:t xml:space="preserve"> Gratë ishin më pak të përfaqësuara në shumë fusha, në nivelet e larta. Ligji detyron pagesë të barabartë për punë të barabartë, megjithëse shumë punëdhënës privatë nuk e zbatuan plotësisht këtë dispozitë. Në shumë komunitete, gratë përjetuan diskriminim shoqëror bazuar në normat tradicionale shoqërore të cilat i bëjnë gratë të varura nga burrat. </w:t>
      </w:r>
    </w:p>
    <w:p w14:paraId="7AC60AD2" w14:textId="0C4F54B0" w:rsidR="002C5193" w:rsidRPr="006B700E" w:rsidRDefault="002C5193" w:rsidP="002C5193">
      <w:pPr>
        <w:jc w:val="both"/>
        <w:rPr>
          <w:sz w:val="24"/>
          <w:szCs w:val="24"/>
        </w:rPr>
      </w:pPr>
      <w:r w:rsidRPr="006B700E">
        <w:rPr>
          <w:b/>
          <w:sz w:val="24"/>
          <w:szCs w:val="24"/>
        </w:rPr>
        <w:t>Përzgjedhja e seksit të fëmijës sipas parapëlqimit gjinor:</w:t>
      </w:r>
      <w:r w:rsidRPr="006B700E">
        <w:rPr>
          <w:sz w:val="24"/>
          <w:szCs w:val="24"/>
        </w:rPr>
        <w:t xml:space="preserve"> Sipas shifrave zyrtare, në vitin 2021 raporti i djemve me vajzat në lindje ishte 108 me 100. </w:t>
      </w:r>
    </w:p>
    <w:bookmarkEnd w:id="2"/>
    <w:p w14:paraId="309820D1" w14:textId="77777777" w:rsidR="002C5193" w:rsidRPr="006B700E" w:rsidRDefault="002C5193" w:rsidP="002C5193">
      <w:pPr>
        <w:pStyle w:val="Heading3"/>
        <w:jc w:val="both"/>
        <w:rPr>
          <w:sz w:val="24"/>
          <w:szCs w:val="24"/>
        </w:rPr>
      </w:pPr>
      <w:r w:rsidRPr="006B700E">
        <w:rPr>
          <w:sz w:val="24"/>
          <w:szCs w:val="24"/>
        </w:rPr>
        <w:t xml:space="preserve">Dhuna dhe diskriminimi sistemik mbi bazë racore dhe etnike </w:t>
      </w:r>
    </w:p>
    <w:p w14:paraId="7D233330" w14:textId="7588C4EE" w:rsidR="009E1169" w:rsidRPr="006B700E" w:rsidRDefault="002C5193" w:rsidP="002C5193">
      <w:pPr>
        <w:jc w:val="both"/>
        <w:rPr>
          <w:sz w:val="24"/>
          <w:szCs w:val="24"/>
        </w:rPr>
      </w:pPr>
      <w:r w:rsidRPr="006B700E">
        <w:rPr>
          <w:sz w:val="24"/>
          <w:szCs w:val="24"/>
        </w:rPr>
        <w:t xml:space="preserve">Nuk pati pretendime për diskriminime që u drejtoheshin pjesëtarëve të komuniteteve rome apo egjiptiane-ballkanike, përfshirë në banesa, punësim, kujdes shëndetësor dhe arsim. Deri në muajin gusht, komisioneri për mbrojtjen nga diskriminimi mori </w:t>
      </w:r>
      <w:r w:rsidR="009E1169" w:rsidRPr="006B700E">
        <w:rPr>
          <w:sz w:val="24"/>
          <w:szCs w:val="24"/>
        </w:rPr>
        <w:t xml:space="preserve">17 </w:t>
      </w:r>
      <w:r w:rsidRPr="006B700E">
        <w:rPr>
          <w:sz w:val="24"/>
          <w:szCs w:val="24"/>
        </w:rPr>
        <w:t xml:space="preserve">ankesa për diskriminim mbi bazë race dhe etnie, dhe vendosi në favor të ankimuesve në pesë raste. </w:t>
      </w:r>
    </w:p>
    <w:p w14:paraId="4DAC3943" w14:textId="74ACBC3C" w:rsidR="005D5956" w:rsidRPr="006B700E" w:rsidRDefault="005D5956" w:rsidP="005D5956">
      <w:pPr>
        <w:jc w:val="both"/>
        <w:rPr>
          <w:sz w:val="24"/>
          <w:szCs w:val="24"/>
        </w:rPr>
      </w:pPr>
      <w:r w:rsidRPr="006B700E">
        <w:rPr>
          <w:sz w:val="24"/>
          <w:szCs w:val="24"/>
        </w:rPr>
        <w:t xml:space="preserve">Ligji siguron status pakice zyrtare për nëntë pakica kombëtare pa bërë dallim mes grupeve kombëtare dhe etnike-gjuhësore. Qeveria i përkufizoi grekët, maqedonasit, arumunët (vllahët), romët, egjiptiano-ballkanasit, malaziasit, boshnjakët, serbët dhe bullgarët si pakica kombëtare. Ligji garanton arsim në gjuhën e pakicave kombëtare dhe përdorim të dygjuhësisë zyrtare për njësitë administrative vendore ku tradicionalisht banojnë pakica ose ku ato përbëjnë 20 për qind të të gjithë popullsisë. Qeveria në përgjithësi i zbatoi këto dispozita në mënyrë të efektshme.      </w:t>
      </w:r>
    </w:p>
    <w:p w14:paraId="528969D5" w14:textId="77777777" w:rsidR="00B41C25" w:rsidRPr="006B700E" w:rsidRDefault="00B41C25" w:rsidP="00B41C25">
      <w:pPr>
        <w:jc w:val="both"/>
        <w:rPr>
          <w:b/>
          <w:sz w:val="24"/>
          <w:szCs w:val="24"/>
        </w:rPr>
      </w:pPr>
      <w:r w:rsidRPr="006B700E">
        <w:rPr>
          <w:b/>
          <w:sz w:val="24"/>
          <w:szCs w:val="24"/>
        </w:rPr>
        <w:t xml:space="preserve">Fëmijët  </w:t>
      </w:r>
    </w:p>
    <w:p w14:paraId="042ED44B" w14:textId="16DD7C43" w:rsidR="009E1169" w:rsidRPr="006B700E" w:rsidRDefault="00B41C25" w:rsidP="00B41C25">
      <w:pPr>
        <w:jc w:val="both"/>
        <w:rPr>
          <w:sz w:val="24"/>
          <w:szCs w:val="24"/>
        </w:rPr>
      </w:pPr>
      <w:r w:rsidRPr="006B700E">
        <w:rPr>
          <w:b/>
          <w:sz w:val="24"/>
          <w:szCs w:val="24"/>
        </w:rPr>
        <w:lastRenderedPageBreak/>
        <w:t>Regjistrimi i lindjes:</w:t>
      </w:r>
      <w:r w:rsidRPr="006B700E">
        <w:rPr>
          <w:sz w:val="24"/>
          <w:szCs w:val="24"/>
        </w:rPr>
        <w:t xml:space="preserve"> Individi merr nënshtetësinë nga lindja në vend ose duke patur një prind nënshtetas, me origjinë ose me nënshtetësi të </w:t>
      </w:r>
      <w:r w:rsidR="000213F0" w:rsidRPr="006B700E">
        <w:rPr>
          <w:sz w:val="24"/>
          <w:szCs w:val="24"/>
        </w:rPr>
        <w:t>fituar</w:t>
      </w:r>
      <w:r w:rsidRPr="006B700E">
        <w:rPr>
          <w:sz w:val="24"/>
          <w:szCs w:val="24"/>
        </w:rPr>
        <w:t xml:space="preserve">. Nuk pati raportime për mohim apo  diskriminim në regjistrimin e lindjes, por kërkesat rënduese për vendbanim dhe dokumente për të kryer regjistrimin paraqitën vështirësi për regjistrimin e fëmijëve për shumë prindër të komuniteteve rome dhe egjiptiane-ballkanike të cilët nuk kishin vendbanime të dokumentuara ligjërisht. </w:t>
      </w:r>
    </w:p>
    <w:p w14:paraId="2913C734" w14:textId="315F473A" w:rsidR="00737535" w:rsidRPr="006B700E" w:rsidRDefault="00B41C25" w:rsidP="00737535">
      <w:pPr>
        <w:rPr>
          <w:sz w:val="24"/>
          <w:szCs w:val="24"/>
        </w:rPr>
      </w:pPr>
      <w:r w:rsidRPr="006B700E">
        <w:rPr>
          <w:sz w:val="24"/>
          <w:szCs w:val="24"/>
        </w:rPr>
        <w:t>“</w:t>
      </w:r>
      <w:r w:rsidR="009E1169" w:rsidRPr="006B700E">
        <w:rPr>
          <w:sz w:val="24"/>
          <w:szCs w:val="24"/>
        </w:rPr>
        <w:t>Nisma ARSIS</w:t>
      </w:r>
      <w:r w:rsidRPr="006B700E">
        <w:rPr>
          <w:sz w:val="24"/>
          <w:szCs w:val="24"/>
        </w:rPr>
        <w:t>” dhe “</w:t>
      </w:r>
      <w:r w:rsidR="009E1169" w:rsidRPr="006B700E">
        <w:rPr>
          <w:sz w:val="24"/>
          <w:szCs w:val="24"/>
        </w:rPr>
        <w:t>Terre des Hommes</w:t>
      </w:r>
      <w:r w:rsidRPr="006B700E">
        <w:rPr>
          <w:sz w:val="24"/>
          <w:szCs w:val="24"/>
        </w:rPr>
        <w:t xml:space="preserve">” raportuan vështirësi në </w:t>
      </w:r>
      <w:r w:rsidR="00737535" w:rsidRPr="006B700E">
        <w:rPr>
          <w:sz w:val="24"/>
          <w:szCs w:val="24"/>
        </w:rPr>
        <w:t>procesin e regjistrimit për fëmijët që kishin të drejtë nënshtetësie por ishin lindur jashtë vendit. Digjitalizimi i shërbime</w:t>
      </w:r>
      <w:r w:rsidR="001F44DC" w:rsidRPr="006B700E">
        <w:rPr>
          <w:sz w:val="24"/>
          <w:szCs w:val="24"/>
        </w:rPr>
        <w:t>ve</w:t>
      </w:r>
      <w:r w:rsidR="00737535" w:rsidRPr="006B700E">
        <w:rPr>
          <w:sz w:val="24"/>
          <w:szCs w:val="24"/>
        </w:rPr>
        <w:t xml:space="preserve"> duke përdorur platformën </w:t>
      </w:r>
      <w:r w:rsidR="009E1169" w:rsidRPr="006B700E">
        <w:rPr>
          <w:sz w:val="24"/>
          <w:szCs w:val="24"/>
        </w:rPr>
        <w:t xml:space="preserve">e-Albania </w:t>
      </w:r>
      <w:r w:rsidR="001F44DC" w:rsidRPr="006B700E">
        <w:rPr>
          <w:sz w:val="24"/>
          <w:szCs w:val="24"/>
        </w:rPr>
        <w:t>u bë</w:t>
      </w:r>
      <w:r w:rsidR="00737535" w:rsidRPr="006B700E">
        <w:rPr>
          <w:sz w:val="24"/>
          <w:szCs w:val="24"/>
        </w:rPr>
        <w:t xml:space="preserve"> pengesë për familjet që nuk patën mundësi përdorimi të teknologjisë apo aftësitë e duhura për të përdorur portalin për procedura administrative. </w:t>
      </w:r>
    </w:p>
    <w:p w14:paraId="07AC2FEB" w14:textId="5D088E12" w:rsidR="009E1169" w:rsidRPr="006B700E" w:rsidRDefault="0008302D" w:rsidP="0008302D">
      <w:pPr>
        <w:jc w:val="both"/>
        <w:rPr>
          <w:color w:val="000000" w:themeColor="text1"/>
          <w:sz w:val="24"/>
          <w:szCs w:val="24"/>
        </w:rPr>
      </w:pPr>
      <w:r w:rsidRPr="006B700E">
        <w:rPr>
          <w:b/>
          <w:sz w:val="24"/>
          <w:szCs w:val="24"/>
        </w:rPr>
        <w:t>Arsimi:</w:t>
      </w:r>
      <w:r w:rsidRPr="006B700E">
        <w:rPr>
          <w:sz w:val="24"/>
          <w:szCs w:val="24"/>
        </w:rPr>
        <w:t xml:space="preserve"> Ndjekja e shkollës është e detyru</w:t>
      </w:r>
      <w:r w:rsidR="008D259F" w:rsidRPr="006B700E">
        <w:rPr>
          <w:sz w:val="24"/>
          <w:szCs w:val="24"/>
        </w:rPr>
        <w:t>eshme</w:t>
      </w:r>
      <w:r w:rsidRPr="006B700E">
        <w:rPr>
          <w:sz w:val="24"/>
          <w:szCs w:val="24"/>
        </w:rPr>
        <w:t xml:space="preserve"> deri në klasën e nëntë ose deri në moshën 16 vjeçare, cilado ndodh e para, por shumë fëmijë, në veçanti në zonat rurale, e lanë shkollën më parë për të punuar. Prindërit shpesh duhet të blejnë mjetet shkollore, fletoret, uniformat dhe ngrohëset e klasave në disa klasa; këto ishin aq të shtrenjta sa bëheshin pengesë për shumë familje, në veçanti familjet rome dhe anëtarë të pakicave të tjera. </w:t>
      </w:r>
    </w:p>
    <w:p w14:paraId="73B6F800" w14:textId="10ADDD8B" w:rsidR="009E1169" w:rsidRPr="006B700E" w:rsidRDefault="002F1688" w:rsidP="00211EF5">
      <w:pPr>
        <w:rPr>
          <w:color w:val="000000" w:themeColor="text1"/>
          <w:sz w:val="24"/>
          <w:szCs w:val="24"/>
        </w:rPr>
      </w:pPr>
      <w:r w:rsidRPr="006B700E">
        <w:rPr>
          <w:rFonts w:eastAsia="MS Mincho"/>
          <w:sz w:val="24"/>
          <w:szCs w:val="24"/>
        </w:rPr>
        <w:t xml:space="preserve">Më 22 shtator, qeveria mbylli </w:t>
      </w:r>
      <w:r w:rsidR="00211EF5" w:rsidRPr="006B700E">
        <w:rPr>
          <w:rFonts w:eastAsia="MS Mincho"/>
          <w:sz w:val="24"/>
          <w:szCs w:val="24"/>
        </w:rPr>
        <w:t>shkollën e mesme të vajz</w:t>
      </w:r>
      <w:r w:rsidR="008D259F" w:rsidRPr="006B700E">
        <w:rPr>
          <w:rFonts w:eastAsia="MS Mincho"/>
          <w:sz w:val="24"/>
          <w:szCs w:val="24"/>
        </w:rPr>
        <w:t>a</w:t>
      </w:r>
      <w:r w:rsidR="00211EF5" w:rsidRPr="006B700E">
        <w:rPr>
          <w:rFonts w:eastAsia="MS Mincho"/>
          <w:sz w:val="24"/>
          <w:szCs w:val="24"/>
        </w:rPr>
        <w:t>ve “</w:t>
      </w:r>
      <w:r w:rsidR="009E1169" w:rsidRPr="006B700E">
        <w:rPr>
          <w:rFonts w:eastAsia="MS Mincho"/>
          <w:sz w:val="24"/>
          <w:szCs w:val="24"/>
        </w:rPr>
        <w:t>Mehmet Akif Ersoy</w:t>
      </w:r>
      <w:r w:rsidR="00211EF5" w:rsidRPr="006B700E">
        <w:rPr>
          <w:rFonts w:eastAsia="MS Mincho"/>
          <w:sz w:val="24"/>
          <w:szCs w:val="24"/>
        </w:rPr>
        <w:t xml:space="preserve">” e cila administrohej nga Fondacioni </w:t>
      </w:r>
      <w:r w:rsidR="008D259F" w:rsidRPr="006B700E">
        <w:rPr>
          <w:rFonts w:eastAsia="MS Mincho"/>
          <w:sz w:val="24"/>
          <w:szCs w:val="24"/>
        </w:rPr>
        <w:t>“</w:t>
      </w:r>
      <w:r w:rsidR="009E1169" w:rsidRPr="006B700E">
        <w:rPr>
          <w:rFonts w:eastAsia="MS Mincho"/>
          <w:sz w:val="24"/>
          <w:szCs w:val="24"/>
        </w:rPr>
        <w:t>Gulistan</w:t>
      </w:r>
      <w:r w:rsidR="008D259F" w:rsidRPr="006B700E">
        <w:rPr>
          <w:rFonts w:eastAsia="MS Mincho"/>
          <w:sz w:val="24"/>
          <w:szCs w:val="24"/>
        </w:rPr>
        <w:t>”</w:t>
      </w:r>
      <w:r w:rsidR="00211EF5" w:rsidRPr="006B700E">
        <w:rPr>
          <w:rFonts w:eastAsia="MS Mincho"/>
          <w:sz w:val="24"/>
          <w:szCs w:val="24"/>
        </w:rPr>
        <w:t xml:space="preserve">, me akuzat se Ministria e Arsimit nuk e kishte miratuar vendndodhjen e saj. Ministrja e arsimit i mohoi akuzat e besueshme për zbatim përzgjedhës të ligjit nën presion nga qeveria e Turqisë për shkak të akuzave për lidhjet e Fondacionit </w:t>
      </w:r>
      <w:r w:rsidR="008D259F" w:rsidRPr="006B700E">
        <w:rPr>
          <w:rFonts w:eastAsia="MS Mincho"/>
          <w:sz w:val="24"/>
          <w:szCs w:val="24"/>
        </w:rPr>
        <w:t>“</w:t>
      </w:r>
      <w:r w:rsidR="00211EF5" w:rsidRPr="006B700E">
        <w:rPr>
          <w:rFonts w:eastAsia="MS Mincho"/>
          <w:sz w:val="24"/>
          <w:szCs w:val="24"/>
        </w:rPr>
        <w:t>Gulistan</w:t>
      </w:r>
      <w:r w:rsidR="008D259F" w:rsidRPr="006B700E">
        <w:rPr>
          <w:rFonts w:eastAsia="MS Mincho"/>
          <w:sz w:val="24"/>
          <w:szCs w:val="24"/>
        </w:rPr>
        <w:t>”</w:t>
      </w:r>
      <w:r w:rsidR="00211EF5" w:rsidRPr="006B700E">
        <w:rPr>
          <w:rFonts w:eastAsia="MS Mincho"/>
          <w:sz w:val="24"/>
          <w:szCs w:val="24"/>
        </w:rPr>
        <w:t xml:space="preserve"> me të ashtuquajturën lëvizje </w:t>
      </w:r>
      <w:r w:rsidR="008D259F" w:rsidRPr="006B700E">
        <w:rPr>
          <w:rFonts w:eastAsia="MS Mincho"/>
          <w:sz w:val="24"/>
          <w:szCs w:val="24"/>
        </w:rPr>
        <w:t>“</w:t>
      </w:r>
      <w:r w:rsidR="009E1169" w:rsidRPr="006B700E">
        <w:rPr>
          <w:rFonts w:eastAsia="MS Mincho"/>
          <w:sz w:val="24"/>
          <w:szCs w:val="24"/>
        </w:rPr>
        <w:t>Gulen</w:t>
      </w:r>
      <w:r w:rsidR="008D259F" w:rsidRPr="006B700E">
        <w:rPr>
          <w:rFonts w:eastAsia="MS Mincho"/>
          <w:sz w:val="24"/>
          <w:szCs w:val="24"/>
        </w:rPr>
        <w:t>”</w:t>
      </w:r>
      <w:r w:rsidR="009E1169" w:rsidRPr="006B700E">
        <w:rPr>
          <w:rFonts w:eastAsia="MS Mincho"/>
          <w:sz w:val="24"/>
          <w:szCs w:val="24"/>
        </w:rPr>
        <w:t xml:space="preserve"> (o</w:t>
      </w:r>
      <w:r w:rsidR="00211EF5" w:rsidRPr="006B700E">
        <w:rPr>
          <w:rFonts w:eastAsia="MS Mincho"/>
          <w:sz w:val="24"/>
          <w:szCs w:val="24"/>
        </w:rPr>
        <w:t>se</w:t>
      </w:r>
      <w:r w:rsidR="009E1169" w:rsidRPr="006B700E">
        <w:rPr>
          <w:rFonts w:eastAsia="MS Mincho"/>
          <w:sz w:val="24"/>
          <w:szCs w:val="24"/>
        </w:rPr>
        <w:t xml:space="preserve"> </w:t>
      </w:r>
      <w:r w:rsidR="009E1169" w:rsidRPr="006B700E">
        <w:rPr>
          <w:rFonts w:eastAsia="MS Mincho"/>
          <w:i/>
          <w:iCs/>
          <w:sz w:val="24"/>
          <w:szCs w:val="24"/>
        </w:rPr>
        <w:t>Hizmet)</w:t>
      </w:r>
      <w:r w:rsidR="009E1169" w:rsidRPr="006B700E">
        <w:rPr>
          <w:rFonts w:eastAsia="MS Mincho"/>
          <w:sz w:val="24"/>
          <w:szCs w:val="24"/>
        </w:rPr>
        <w:t xml:space="preserve">. </w:t>
      </w:r>
      <w:r w:rsidR="00211EF5" w:rsidRPr="006B700E">
        <w:rPr>
          <w:rFonts w:eastAsia="MS Mincho"/>
          <w:sz w:val="24"/>
          <w:szCs w:val="24"/>
        </w:rPr>
        <w:t>Ministria e Arsimit mbylli me të njëjtat argumente kopshtin “</w:t>
      </w:r>
      <w:r w:rsidR="009E1169" w:rsidRPr="006B700E">
        <w:rPr>
          <w:rFonts w:eastAsia="MS Mincho"/>
          <w:sz w:val="24"/>
          <w:szCs w:val="24"/>
        </w:rPr>
        <w:t>Zubeyde Hanim</w:t>
      </w:r>
      <w:r w:rsidR="00211EF5" w:rsidRPr="006B700E">
        <w:rPr>
          <w:rFonts w:eastAsia="MS Mincho"/>
          <w:sz w:val="24"/>
          <w:szCs w:val="24"/>
        </w:rPr>
        <w:t>”</w:t>
      </w:r>
      <w:r w:rsidR="008D259F" w:rsidRPr="006B700E">
        <w:rPr>
          <w:rFonts w:eastAsia="MS Mincho"/>
          <w:sz w:val="24"/>
          <w:szCs w:val="24"/>
        </w:rPr>
        <w:t>,</w:t>
      </w:r>
      <w:r w:rsidR="009E1169" w:rsidRPr="006B700E">
        <w:rPr>
          <w:rFonts w:eastAsia="MS Mincho"/>
          <w:sz w:val="24"/>
          <w:szCs w:val="24"/>
        </w:rPr>
        <w:t xml:space="preserve"> </w:t>
      </w:r>
      <w:r w:rsidR="00211EF5" w:rsidRPr="006B700E">
        <w:rPr>
          <w:rFonts w:eastAsia="MS Mincho"/>
          <w:sz w:val="24"/>
          <w:szCs w:val="24"/>
        </w:rPr>
        <w:t>pronë e Kompanisë së Arsimit “</w:t>
      </w:r>
      <w:r w:rsidR="009E1169" w:rsidRPr="006B700E">
        <w:rPr>
          <w:rFonts w:eastAsia="MS Mincho"/>
          <w:sz w:val="24"/>
          <w:szCs w:val="24"/>
        </w:rPr>
        <w:t>Turgut Ozal</w:t>
      </w:r>
      <w:r w:rsidR="00211EF5" w:rsidRPr="006B700E">
        <w:rPr>
          <w:rFonts w:eastAsia="MS Mincho"/>
          <w:sz w:val="24"/>
          <w:szCs w:val="24"/>
        </w:rPr>
        <w:t xml:space="preserve">”, gjithashtu supozuar të jetë e lidhur me lëvizjen </w:t>
      </w:r>
      <w:r w:rsidR="008D259F" w:rsidRPr="006B700E">
        <w:rPr>
          <w:rFonts w:eastAsia="MS Mincho"/>
          <w:sz w:val="24"/>
          <w:szCs w:val="24"/>
        </w:rPr>
        <w:t>“</w:t>
      </w:r>
      <w:r w:rsidR="009E1169" w:rsidRPr="006B700E">
        <w:rPr>
          <w:rFonts w:eastAsia="MS Mincho"/>
          <w:sz w:val="24"/>
          <w:szCs w:val="24"/>
        </w:rPr>
        <w:t>Gulen</w:t>
      </w:r>
      <w:r w:rsidR="008D259F" w:rsidRPr="006B700E">
        <w:rPr>
          <w:rFonts w:eastAsia="MS Mincho"/>
          <w:sz w:val="24"/>
          <w:szCs w:val="24"/>
        </w:rPr>
        <w:t>”</w:t>
      </w:r>
      <w:r w:rsidR="00211EF5" w:rsidRPr="006B700E">
        <w:rPr>
          <w:rFonts w:eastAsia="MS Mincho"/>
          <w:sz w:val="24"/>
          <w:szCs w:val="24"/>
        </w:rPr>
        <w:t xml:space="preserve">. Si fondacioni </w:t>
      </w:r>
      <w:r w:rsidR="008D259F" w:rsidRPr="006B700E">
        <w:rPr>
          <w:rFonts w:eastAsia="MS Mincho"/>
          <w:sz w:val="24"/>
          <w:szCs w:val="24"/>
        </w:rPr>
        <w:t>e</w:t>
      </w:r>
      <w:r w:rsidR="00211EF5" w:rsidRPr="006B700E">
        <w:rPr>
          <w:rFonts w:eastAsia="MS Mincho"/>
          <w:sz w:val="24"/>
          <w:szCs w:val="24"/>
        </w:rPr>
        <w:t xml:space="preserve">dhe kompania e kundërshtuan vendimin, por gjykata e apelit la në fuqi mbylljen. Prindërit e fëmijëve </w:t>
      </w:r>
      <w:r w:rsidR="008D259F" w:rsidRPr="006B700E">
        <w:rPr>
          <w:rFonts w:eastAsia="MS Mincho"/>
          <w:sz w:val="24"/>
          <w:szCs w:val="24"/>
        </w:rPr>
        <w:t>t</w:t>
      </w:r>
      <w:r w:rsidR="00211EF5" w:rsidRPr="006B700E">
        <w:rPr>
          <w:rFonts w:eastAsia="MS Mincho"/>
          <w:sz w:val="24"/>
          <w:szCs w:val="24"/>
        </w:rPr>
        <w:t>ë</w:t>
      </w:r>
      <w:r w:rsidR="008D259F" w:rsidRPr="006B700E">
        <w:rPr>
          <w:rFonts w:eastAsia="MS Mincho"/>
          <w:sz w:val="24"/>
          <w:szCs w:val="24"/>
        </w:rPr>
        <w:t xml:space="preserve"> cilët</w:t>
      </w:r>
      <w:r w:rsidR="00211EF5" w:rsidRPr="006B700E">
        <w:rPr>
          <w:rFonts w:eastAsia="MS Mincho"/>
          <w:sz w:val="24"/>
          <w:szCs w:val="24"/>
        </w:rPr>
        <w:t xml:space="preserve"> ndiqnin kopshtin bënë padi më vete kundër vendimit të qeverisë, </w:t>
      </w:r>
      <w:r w:rsidR="00D518FA" w:rsidRPr="006B700E">
        <w:rPr>
          <w:rFonts w:eastAsia="MS Mincho"/>
          <w:sz w:val="24"/>
          <w:szCs w:val="24"/>
        </w:rPr>
        <w:t xml:space="preserve">e cila sërish la në fuqi mbylljen nga qeveria. Komiteti Shqiptar i Helsinkit e dënoi këtë mbyllje, duke u shprehur se </w:t>
      </w:r>
      <w:r w:rsidR="009E1169" w:rsidRPr="006B700E">
        <w:rPr>
          <w:sz w:val="24"/>
          <w:szCs w:val="24"/>
        </w:rPr>
        <w:t>“</w:t>
      </w:r>
      <w:r w:rsidR="00D518FA" w:rsidRPr="006B700E">
        <w:rPr>
          <w:sz w:val="24"/>
          <w:szCs w:val="24"/>
        </w:rPr>
        <w:t>ata nuk i përmbushnin standardet për proces të drejtë, gjë që çoi në vendim të ashpër, të nxituar, joproporcional dhe të dëmshëm.</w:t>
      </w:r>
      <w:r w:rsidR="009E1169" w:rsidRPr="006B700E">
        <w:rPr>
          <w:sz w:val="24"/>
          <w:szCs w:val="24"/>
        </w:rPr>
        <w:t>”</w:t>
      </w:r>
    </w:p>
    <w:p w14:paraId="0B5C1D89" w14:textId="1664320E" w:rsidR="00867F52" w:rsidRPr="006B700E" w:rsidRDefault="00867F52" w:rsidP="00867F52">
      <w:pPr>
        <w:rPr>
          <w:sz w:val="24"/>
          <w:szCs w:val="24"/>
        </w:rPr>
      </w:pPr>
      <w:r w:rsidRPr="006B700E">
        <w:rPr>
          <w:sz w:val="24"/>
          <w:szCs w:val="24"/>
        </w:rPr>
        <w:t>Më 31 gusht, Gjykata Europiane për të Drejtat e Njeriut e shpalli qeverinë fajtore për veçimin e fëmijëve romë dhe egjiptianë në shkollën “</w:t>
      </w:r>
      <w:r w:rsidR="009E1169" w:rsidRPr="006B700E">
        <w:rPr>
          <w:sz w:val="24"/>
          <w:szCs w:val="24"/>
        </w:rPr>
        <w:t>Naim Frashëri</w:t>
      </w:r>
      <w:r w:rsidRPr="006B700E">
        <w:rPr>
          <w:sz w:val="24"/>
          <w:szCs w:val="24"/>
        </w:rPr>
        <w:t>” në</w:t>
      </w:r>
      <w:r w:rsidR="009E1169" w:rsidRPr="006B700E">
        <w:rPr>
          <w:sz w:val="24"/>
          <w:szCs w:val="24"/>
        </w:rPr>
        <w:t xml:space="preserve"> Korç</w:t>
      </w:r>
      <w:r w:rsidRPr="006B700E">
        <w:rPr>
          <w:sz w:val="24"/>
          <w:szCs w:val="24"/>
        </w:rPr>
        <w:t xml:space="preserve">ë dhe kërkoi pagesën prej </w:t>
      </w:r>
      <w:r w:rsidR="009E1169" w:rsidRPr="006B700E">
        <w:rPr>
          <w:sz w:val="24"/>
          <w:szCs w:val="24"/>
        </w:rPr>
        <w:t>4500</w:t>
      </w:r>
      <w:r w:rsidRPr="006B700E">
        <w:rPr>
          <w:sz w:val="24"/>
          <w:szCs w:val="24"/>
        </w:rPr>
        <w:t xml:space="preserve"> Euro</w:t>
      </w:r>
      <w:r w:rsidR="009E1169" w:rsidRPr="006B700E">
        <w:rPr>
          <w:sz w:val="24"/>
          <w:szCs w:val="24"/>
        </w:rPr>
        <w:t xml:space="preserve"> (4</w:t>
      </w:r>
      <w:r w:rsidRPr="006B700E">
        <w:rPr>
          <w:sz w:val="24"/>
          <w:szCs w:val="24"/>
        </w:rPr>
        <w:t xml:space="preserve"> </w:t>
      </w:r>
      <w:r w:rsidR="009E1169" w:rsidRPr="006B700E">
        <w:rPr>
          <w:sz w:val="24"/>
          <w:szCs w:val="24"/>
        </w:rPr>
        <w:t>206</w:t>
      </w:r>
      <w:r w:rsidRPr="006B700E">
        <w:rPr>
          <w:sz w:val="24"/>
          <w:szCs w:val="24"/>
        </w:rPr>
        <w:t xml:space="preserve"> dollarë</w:t>
      </w:r>
      <w:r w:rsidR="009E1169" w:rsidRPr="006B700E">
        <w:rPr>
          <w:sz w:val="24"/>
          <w:szCs w:val="24"/>
        </w:rPr>
        <w:t xml:space="preserve">) </w:t>
      </w:r>
      <w:r w:rsidRPr="006B700E">
        <w:rPr>
          <w:sz w:val="24"/>
          <w:szCs w:val="24"/>
        </w:rPr>
        <w:t>për të pes</w:t>
      </w:r>
      <w:r w:rsidR="008D259F" w:rsidRPr="006B700E">
        <w:rPr>
          <w:sz w:val="24"/>
          <w:szCs w:val="24"/>
        </w:rPr>
        <w:t>ta</w:t>
      </w:r>
      <w:r w:rsidRPr="006B700E">
        <w:rPr>
          <w:sz w:val="24"/>
          <w:szCs w:val="24"/>
        </w:rPr>
        <w:t xml:space="preserve"> fam</w:t>
      </w:r>
      <w:r w:rsidR="008D259F" w:rsidRPr="006B700E">
        <w:rPr>
          <w:sz w:val="24"/>
          <w:szCs w:val="24"/>
        </w:rPr>
        <w:t>i</w:t>
      </w:r>
      <w:r w:rsidRPr="006B700E">
        <w:rPr>
          <w:sz w:val="24"/>
          <w:szCs w:val="24"/>
        </w:rPr>
        <w:t xml:space="preserve">ljet të cilat bënë padinë në vitin </w:t>
      </w:r>
      <w:r w:rsidR="009E1169" w:rsidRPr="006B700E">
        <w:rPr>
          <w:sz w:val="24"/>
          <w:szCs w:val="24"/>
        </w:rPr>
        <w:t xml:space="preserve">2017. </w:t>
      </w:r>
      <w:r w:rsidR="00DD0979" w:rsidRPr="006B700E">
        <w:rPr>
          <w:sz w:val="24"/>
          <w:szCs w:val="24"/>
        </w:rPr>
        <w:t xml:space="preserve">Gjykata tha se autoritetet nuk kishin ndërmarrë hapa për të shmangur përqendrimin e fëmijëve romë dhe </w:t>
      </w:r>
      <w:r w:rsidR="00DD0979" w:rsidRPr="006B700E">
        <w:rPr>
          <w:sz w:val="24"/>
          <w:szCs w:val="24"/>
        </w:rPr>
        <w:lastRenderedPageBreak/>
        <w:t>egjiptianë në shkollë, pavarësisht vendimit detyrues të vitit 2015 të komision</w:t>
      </w:r>
      <w:r w:rsidR="008D259F" w:rsidRPr="006B700E">
        <w:rPr>
          <w:sz w:val="24"/>
          <w:szCs w:val="24"/>
        </w:rPr>
        <w:t>e</w:t>
      </w:r>
      <w:r w:rsidR="00DD0979" w:rsidRPr="006B700E">
        <w:rPr>
          <w:sz w:val="24"/>
          <w:szCs w:val="24"/>
        </w:rPr>
        <w:t xml:space="preserve">rit për mbrojtjen nga diskriminimi që deklaronte se nxënësit romë dhe egjiptianë në shkollë përjetonin diskriminim të tërthortë për shkak të përfaqësimit të tyre </w:t>
      </w:r>
      <w:r w:rsidR="008D259F" w:rsidRPr="006B700E">
        <w:rPr>
          <w:sz w:val="24"/>
          <w:szCs w:val="24"/>
        </w:rPr>
        <w:t xml:space="preserve">me numra të lartë </w:t>
      </w:r>
      <w:r w:rsidR="00DD0979" w:rsidRPr="006B700E">
        <w:rPr>
          <w:sz w:val="24"/>
          <w:szCs w:val="24"/>
        </w:rPr>
        <w:t xml:space="preserve">në shkollë.  </w:t>
      </w:r>
    </w:p>
    <w:p w14:paraId="73AC4905" w14:textId="3E86D816" w:rsidR="009E1169" w:rsidRPr="006B700E" w:rsidRDefault="000700A1" w:rsidP="000700A1">
      <w:pPr>
        <w:rPr>
          <w:rFonts w:eastAsia="MS Mincho"/>
          <w:sz w:val="24"/>
          <w:szCs w:val="24"/>
        </w:rPr>
      </w:pPr>
      <w:r w:rsidRPr="006B700E">
        <w:rPr>
          <w:b/>
          <w:bCs/>
          <w:sz w:val="24"/>
          <w:szCs w:val="24"/>
        </w:rPr>
        <w:t>Abuzimi ndaj fëmijëve:</w:t>
      </w:r>
      <w:r w:rsidRPr="006B700E">
        <w:rPr>
          <w:sz w:val="24"/>
          <w:szCs w:val="24"/>
        </w:rPr>
        <w:t xml:space="preserve"> Ligji e konsideron krim çdo formë abuzimi apo neglizhimi ndaj fëmijëve. Dënimet përfshijnë deri në burgim të përjetshëm në rastet e përdhunimit dhe trafikimit të fëmijëve. “Nisma ARSIS” ngriti pretendimin se policia ndonjëherë reagonte vonë ose nuk reagonte fare në raste kur shkelej urdhri i mbrojtjes, veçanërisht në rastet që përfshinin familjet rome dhe egjiptiane-ballkanike. Viktimat fëmijë të dhunës në familje në qendrën e emergjencës së “Nisma ARSIS” raportuan dhunën psikologjike, neglizhimin prindëror dhe shfrytëzimin ekonomik si forma të përhapura të abuzimit ndaj fëmijëve. “</w:t>
      </w:r>
      <w:r w:rsidR="009E1169" w:rsidRPr="006B700E">
        <w:rPr>
          <w:sz w:val="24"/>
          <w:szCs w:val="24"/>
        </w:rPr>
        <w:t>Terre des Hommes</w:t>
      </w:r>
      <w:r w:rsidRPr="006B700E">
        <w:rPr>
          <w:sz w:val="24"/>
          <w:szCs w:val="24"/>
        </w:rPr>
        <w:t>” raportoi se fëmijët romë zakonisht dërgoheshin nga prindërit e tyre të lypnin në rrugë. Shumë lanë shkollën dhe nuk merrnin shërbime të mbështetjes publike. “</w:t>
      </w:r>
      <w:r w:rsidR="009E1169" w:rsidRPr="006B700E">
        <w:rPr>
          <w:rFonts w:eastAsia="MS Mincho"/>
          <w:sz w:val="24"/>
          <w:szCs w:val="24"/>
        </w:rPr>
        <w:t>Terre des Hommes</w:t>
      </w:r>
      <w:r w:rsidRPr="006B700E">
        <w:rPr>
          <w:rFonts w:eastAsia="MS Mincho"/>
          <w:sz w:val="24"/>
          <w:szCs w:val="24"/>
        </w:rPr>
        <w:t xml:space="preserve">” deklaroi gjithashtu se shumica e bashkive nuk ofronin </w:t>
      </w:r>
      <w:r w:rsidR="00870860" w:rsidRPr="006B700E">
        <w:rPr>
          <w:rFonts w:eastAsia="MS Mincho"/>
          <w:sz w:val="24"/>
          <w:szCs w:val="24"/>
        </w:rPr>
        <w:t>mundësi miqësore për fëmijët në nevojë për kujdes alternativ. Programet e kujdesit ishin krijuar për t’</w:t>
      </w:r>
      <w:r w:rsidR="00A470E8" w:rsidRPr="006B700E">
        <w:rPr>
          <w:rFonts w:eastAsia="MS Mincho"/>
          <w:sz w:val="24"/>
          <w:szCs w:val="24"/>
        </w:rPr>
        <w:t>i</w:t>
      </w:r>
      <w:r w:rsidR="00870860" w:rsidRPr="006B700E">
        <w:rPr>
          <w:rFonts w:eastAsia="MS Mincho"/>
          <w:sz w:val="24"/>
          <w:szCs w:val="24"/>
        </w:rPr>
        <w:t xml:space="preserve">u shërbyer fëmijëve jetimë më shumë se sa viktimave të abuzimit apo neglizhimit. </w:t>
      </w:r>
    </w:p>
    <w:p w14:paraId="337A3D14" w14:textId="5CBB16D5" w:rsidR="009E1169" w:rsidRPr="006B700E" w:rsidRDefault="004E193F" w:rsidP="009E1169">
      <w:pPr>
        <w:rPr>
          <w:rFonts w:eastAsia="MS Mincho"/>
          <w:sz w:val="24"/>
          <w:szCs w:val="24"/>
        </w:rPr>
      </w:pPr>
      <w:r w:rsidRPr="006B700E">
        <w:rPr>
          <w:rFonts w:eastAsia="MS Mincho"/>
          <w:sz w:val="24"/>
          <w:szCs w:val="24"/>
        </w:rPr>
        <w:t>“</w:t>
      </w:r>
      <w:r w:rsidR="009E1169" w:rsidRPr="006B700E">
        <w:rPr>
          <w:rFonts w:eastAsia="MS Mincho"/>
          <w:sz w:val="24"/>
          <w:szCs w:val="24"/>
        </w:rPr>
        <w:t>World Vision Albania</w:t>
      </w:r>
      <w:r w:rsidRPr="006B700E">
        <w:rPr>
          <w:rFonts w:eastAsia="MS Mincho"/>
          <w:sz w:val="24"/>
          <w:szCs w:val="24"/>
        </w:rPr>
        <w:t>”</w:t>
      </w:r>
      <w:r w:rsidR="009E1169" w:rsidRPr="006B700E">
        <w:rPr>
          <w:rFonts w:eastAsia="MS Mincho"/>
          <w:sz w:val="24"/>
          <w:szCs w:val="24"/>
        </w:rPr>
        <w:t xml:space="preserve"> (WVA) </w:t>
      </w:r>
      <w:r w:rsidRPr="006B700E">
        <w:rPr>
          <w:rFonts w:eastAsia="MS Mincho"/>
          <w:sz w:val="24"/>
          <w:szCs w:val="24"/>
        </w:rPr>
        <w:t xml:space="preserve">raportoi se dhuna në familje dhe dhuna ndaj fëmijëve vazhdoi të mbeteshin probleme madhore në vend. Në gusht të vitit 2021, WVA raportoi se </w:t>
      </w:r>
      <w:r w:rsidR="009E1169" w:rsidRPr="006B700E">
        <w:rPr>
          <w:rFonts w:eastAsia="MS Mincho"/>
          <w:sz w:val="24"/>
          <w:szCs w:val="24"/>
        </w:rPr>
        <w:t>58 p</w:t>
      </w:r>
      <w:r w:rsidRPr="006B700E">
        <w:rPr>
          <w:rFonts w:eastAsia="MS Mincho"/>
          <w:sz w:val="24"/>
          <w:szCs w:val="24"/>
        </w:rPr>
        <w:t>ë</w:t>
      </w:r>
      <w:r w:rsidR="009E1169" w:rsidRPr="006B700E">
        <w:rPr>
          <w:rFonts w:eastAsia="MS Mincho"/>
          <w:sz w:val="24"/>
          <w:szCs w:val="24"/>
        </w:rPr>
        <w:t>r</w:t>
      </w:r>
      <w:r w:rsidRPr="006B700E">
        <w:rPr>
          <w:rFonts w:eastAsia="MS Mincho"/>
          <w:sz w:val="24"/>
          <w:szCs w:val="24"/>
        </w:rPr>
        <w:t xml:space="preserve"> qind e fëmijëve të anketuar ishin të ekspozuar ndaj dhunës dhe abuzimit, veçanërisht nga pjesëtarë të tjerë të familjes dhe miq, ku djemtë ishin më të prirur për abuzim fizik. </w:t>
      </w:r>
    </w:p>
    <w:p w14:paraId="7385F045" w14:textId="461BDE36" w:rsidR="009E1169" w:rsidRPr="006B700E" w:rsidRDefault="00FB3EBF" w:rsidP="00372F62">
      <w:pPr>
        <w:rPr>
          <w:sz w:val="24"/>
          <w:szCs w:val="24"/>
        </w:rPr>
      </w:pPr>
      <w:r w:rsidRPr="006B700E">
        <w:rPr>
          <w:b/>
          <w:sz w:val="24"/>
          <w:szCs w:val="24"/>
        </w:rPr>
        <w:t>Martesa e fëmijëve, në moshë të hershme dhe me detyrim:</w:t>
      </w:r>
      <w:r w:rsidRPr="006B700E">
        <w:rPr>
          <w:sz w:val="24"/>
          <w:szCs w:val="24"/>
        </w:rPr>
        <w:t xml:space="preserve"> </w:t>
      </w:r>
      <w:r w:rsidR="003C49C7" w:rsidRPr="006B700E">
        <w:rPr>
          <w:sz w:val="24"/>
          <w:szCs w:val="24"/>
        </w:rPr>
        <w:t>Mo</w:t>
      </w:r>
      <w:r w:rsidRPr="006B700E">
        <w:rPr>
          <w:sz w:val="24"/>
          <w:szCs w:val="24"/>
        </w:rPr>
        <w:t>sha minimale me ligj për martesë është 18 vjeç</w:t>
      </w:r>
      <w:r w:rsidR="00A470E8" w:rsidRPr="006B700E">
        <w:rPr>
          <w:sz w:val="24"/>
          <w:szCs w:val="24"/>
        </w:rPr>
        <w:t>;</w:t>
      </w:r>
      <w:r w:rsidRPr="006B700E">
        <w:rPr>
          <w:sz w:val="24"/>
          <w:szCs w:val="24"/>
        </w:rPr>
        <w:t xml:space="preserve"> </w:t>
      </w:r>
      <w:r w:rsidR="003C49C7" w:rsidRPr="006B700E">
        <w:rPr>
          <w:sz w:val="24"/>
          <w:szCs w:val="24"/>
        </w:rPr>
        <w:t>megjithatë</w:t>
      </w:r>
      <w:r w:rsidR="00A470E8" w:rsidRPr="006B700E">
        <w:rPr>
          <w:sz w:val="24"/>
          <w:szCs w:val="24"/>
        </w:rPr>
        <w:t>,</w:t>
      </w:r>
      <w:r w:rsidR="003C49C7" w:rsidRPr="006B700E">
        <w:rPr>
          <w:sz w:val="24"/>
          <w:szCs w:val="24"/>
        </w:rPr>
        <w:t xml:space="preserve"> ligji e lejon martesën e individëve nën 18 vjeç nëse kanë pëlqimin e prindërve. A</w:t>
      </w:r>
      <w:r w:rsidRPr="006B700E">
        <w:rPr>
          <w:sz w:val="24"/>
          <w:szCs w:val="24"/>
        </w:rPr>
        <w:t xml:space="preserve">utoritetet nuk e zbatuan gjithnjë ligjin. “Nisma ARSIS” </w:t>
      </w:r>
      <w:r w:rsidR="003C49C7" w:rsidRPr="006B700E">
        <w:rPr>
          <w:sz w:val="24"/>
          <w:szCs w:val="24"/>
        </w:rPr>
        <w:t>dhe “</w:t>
      </w:r>
      <w:r w:rsidR="009E1169" w:rsidRPr="006B700E">
        <w:rPr>
          <w:sz w:val="24"/>
          <w:szCs w:val="24"/>
        </w:rPr>
        <w:t>Terre des Hommes</w:t>
      </w:r>
      <w:r w:rsidR="003C49C7" w:rsidRPr="006B700E">
        <w:rPr>
          <w:sz w:val="24"/>
          <w:szCs w:val="24"/>
        </w:rPr>
        <w:t>” vërejtën se ndodhnin shpesh martesa nën moshë mes fëmijëve romë dhe egjiptianë-ballkanikë të cilët largoheshin nga shtëpia. Gjatë vitit, “</w:t>
      </w:r>
      <w:r w:rsidR="009E1169" w:rsidRPr="006B700E">
        <w:rPr>
          <w:sz w:val="24"/>
          <w:szCs w:val="24"/>
        </w:rPr>
        <w:t>Nisma ARSIS</w:t>
      </w:r>
      <w:r w:rsidR="003C49C7" w:rsidRPr="006B700E">
        <w:rPr>
          <w:sz w:val="24"/>
          <w:szCs w:val="24"/>
        </w:rPr>
        <w:t>”</w:t>
      </w:r>
      <w:r w:rsidR="009E1169" w:rsidRPr="006B700E">
        <w:rPr>
          <w:sz w:val="24"/>
          <w:szCs w:val="24"/>
        </w:rPr>
        <w:t xml:space="preserve"> </w:t>
      </w:r>
      <w:r w:rsidR="003C49C7" w:rsidRPr="006B700E">
        <w:rPr>
          <w:sz w:val="24"/>
          <w:szCs w:val="24"/>
        </w:rPr>
        <w:t xml:space="preserve">raportoi </w:t>
      </w:r>
      <w:r w:rsidR="009E1169" w:rsidRPr="006B700E">
        <w:rPr>
          <w:sz w:val="24"/>
          <w:szCs w:val="24"/>
        </w:rPr>
        <w:t xml:space="preserve">24 </w:t>
      </w:r>
      <w:r w:rsidR="003C49C7" w:rsidRPr="006B700E">
        <w:rPr>
          <w:sz w:val="24"/>
          <w:szCs w:val="24"/>
        </w:rPr>
        <w:t>raste martesash të hershme të fëmijëve në komunitetet rome dhe egjiptiane-ballkanike</w:t>
      </w:r>
      <w:r w:rsidR="009E1169" w:rsidRPr="006B700E">
        <w:rPr>
          <w:sz w:val="24"/>
          <w:szCs w:val="24"/>
        </w:rPr>
        <w:t xml:space="preserve">, </w:t>
      </w:r>
      <w:r w:rsidR="003C49C7" w:rsidRPr="006B700E">
        <w:rPr>
          <w:sz w:val="24"/>
          <w:szCs w:val="24"/>
        </w:rPr>
        <w:t>shumë prej të cilëve ishin identifikuar në rajonin e policisë gjatë procesit të marrjes në pyetje. “</w:t>
      </w:r>
      <w:r w:rsidR="009E1169" w:rsidRPr="006B700E">
        <w:rPr>
          <w:sz w:val="24"/>
          <w:szCs w:val="24"/>
        </w:rPr>
        <w:t>Terre des Hommes</w:t>
      </w:r>
      <w:r w:rsidR="003C49C7" w:rsidRPr="006B700E">
        <w:rPr>
          <w:sz w:val="24"/>
          <w:szCs w:val="24"/>
        </w:rPr>
        <w:t>”</w:t>
      </w:r>
      <w:r w:rsidR="009E1169" w:rsidRPr="006B700E">
        <w:rPr>
          <w:sz w:val="24"/>
          <w:szCs w:val="24"/>
        </w:rPr>
        <w:t xml:space="preserve"> identifi</w:t>
      </w:r>
      <w:r w:rsidR="003C49C7" w:rsidRPr="006B700E">
        <w:rPr>
          <w:sz w:val="24"/>
          <w:szCs w:val="24"/>
        </w:rPr>
        <w:t xml:space="preserve">koi </w:t>
      </w:r>
      <w:r w:rsidR="009E1169" w:rsidRPr="006B700E">
        <w:rPr>
          <w:sz w:val="24"/>
          <w:szCs w:val="24"/>
        </w:rPr>
        <w:t xml:space="preserve">21 </w:t>
      </w:r>
      <w:r w:rsidR="00A470E8" w:rsidRPr="006B700E">
        <w:rPr>
          <w:sz w:val="24"/>
          <w:szCs w:val="24"/>
        </w:rPr>
        <w:t>të mitur</w:t>
      </w:r>
      <w:r w:rsidR="003C49C7" w:rsidRPr="006B700E">
        <w:rPr>
          <w:sz w:val="24"/>
          <w:szCs w:val="24"/>
        </w:rPr>
        <w:t xml:space="preserve"> në qytetet e </w:t>
      </w:r>
      <w:r w:rsidR="009E1169" w:rsidRPr="006B700E">
        <w:rPr>
          <w:sz w:val="24"/>
          <w:szCs w:val="24"/>
        </w:rPr>
        <w:t>Levan</w:t>
      </w:r>
      <w:r w:rsidR="003C49C7" w:rsidRPr="006B700E">
        <w:rPr>
          <w:sz w:val="24"/>
          <w:szCs w:val="24"/>
        </w:rPr>
        <w:t>it dhe</w:t>
      </w:r>
      <w:r w:rsidR="009E1169" w:rsidRPr="006B700E">
        <w:rPr>
          <w:sz w:val="24"/>
          <w:szCs w:val="24"/>
        </w:rPr>
        <w:t xml:space="preserve"> Driz</w:t>
      </w:r>
      <w:r w:rsidR="003C49C7" w:rsidRPr="006B700E">
        <w:rPr>
          <w:sz w:val="24"/>
          <w:szCs w:val="24"/>
        </w:rPr>
        <w:t>ës</w:t>
      </w:r>
      <w:r w:rsidR="009E1169" w:rsidRPr="006B700E">
        <w:rPr>
          <w:sz w:val="24"/>
          <w:szCs w:val="24"/>
        </w:rPr>
        <w:t xml:space="preserve"> </w:t>
      </w:r>
      <w:r w:rsidR="003C49C7" w:rsidRPr="006B700E">
        <w:rPr>
          <w:sz w:val="24"/>
          <w:szCs w:val="24"/>
        </w:rPr>
        <w:t xml:space="preserve">dhe ofroi ndihmë dhe shërbime. Dy raste të tjera u raportuan </w:t>
      </w:r>
      <w:r w:rsidR="00372F62" w:rsidRPr="006B700E">
        <w:rPr>
          <w:sz w:val="24"/>
          <w:szCs w:val="24"/>
        </w:rPr>
        <w:t>me vajza në Kukës, mosha</w:t>
      </w:r>
      <w:r w:rsidR="009E1169" w:rsidRPr="006B700E">
        <w:rPr>
          <w:sz w:val="24"/>
          <w:szCs w:val="24"/>
        </w:rPr>
        <w:t xml:space="preserve"> 16</w:t>
      </w:r>
      <w:r w:rsidR="00372F62" w:rsidRPr="006B700E">
        <w:rPr>
          <w:sz w:val="24"/>
          <w:szCs w:val="24"/>
        </w:rPr>
        <w:t xml:space="preserve"> vjeçe</w:t>
      </w:r>
      <w:r w:rsidR="009E1169" w:rsidRPr="006B700E">
        <w:rPr>
          <w:sz w:val="24"/>
          <w:szCs w:val="24"/>
        </w:rPr>
        <w:t xml:space="preserve">, </w:t>
      </w:r>
      <w:r w:rsidR="00A470E8" w:rsidRPr="006B700E">
        <w:rPr>
          <w:sz w:val="24"/>
          <w:szCs w:val="24"/>
        </w:rPr>
        <w:t xml:space="preserve">të </w:t>
      </w:r>
      <w:r w:rsidR="00372F62" w:rsidRPr="006B700E">
        <w:rPr>
          <w:sz w:val="24"/>
          <w:szCs w:val="24"/>
        </w:rPr>
        <w:t>martuar</w:t>
      </w:r>
      <w:r w:rsidR="00A470E8" w:rsidRPr="006B700E">
        <w:rPr>
          <w:sz w:val="24"/>
          <w:szCs w:val="24"/>
        </w:rPr>
        <w:t>a</w:t>
      </w:r>
      <w:r w:rsidR="00372F62" w:rsidRPr="006B700E">
        <w:rPr>
          <w:sz w:val="24"/>
          <w:szCs w:val="24"/>
        </w:rPr>
        <w:t xml:space="preserve"> me të rritur. Agjencia Shtetërore për Mbrojtjen e Fëmijëve dhe </w:t>
      </w:r>
      <w:r w:rsidR="00A470E8" w:rsidRPr="006B700E">
        <w:rPr>
          <w:sz w:val="24"/>
          <w:szCs w:val="24"/>
        </w:rPr>
        <w:t>P</w:t>
      </w:r>
      <w:r w:rsidR="00372F62" w:rsidRPr="006B700E">
        <w:rPr>
          <w:sz w:val="24"/>
          <w:szCs w:val="24"/>
        </w:rPr>
        <w:t xml:space="preserve">olicia e </w:t>
      </w:r>
      <w:r w:rsidR="00A470E8" w:rsidRPr="006B700E">
        <w:rPr>
          <w:sz w:val="24"/>
          <w:szCs w:val="24"/>
        </w:rPr>
        <w:t>S</w:t>
      </w:r>
      <w:r w:rsidR="00372F62" w:rsidRPr="006B700E">
        <w:rPr>
          <w:sz w:val="24"/>
          <w:szCs w:val="24"/>
        </w:rPr>
        <w:t xml:space="preserve">htetit nuk mbajtën statistika për rastet e martesave të hershme. </w:t>
      </w:r>
    </w:p>
    <w:p w14:paraId="36F90F6A" w14:textId="15B0DA35" w:rsidR="0052777E" w:rsidRPr="006B700E" w:rsidRDefault="0052777E" w:rsidP="0052777E">
      <w:pPr>
        <w:jc w:val="both"/>
        <w:rPr>
          <w:sz w:val="24"/>
          <w:szCs w:val="24"/>
        </w:rPr>
      </w:pPr>
      <w:r w:rsidRPr="006B700E">
        <w:rPr>
          <w:b/>
          <w:sz w:val="24"/>
          <w:szCs w:val="24"/>
        </w:rPr>
        <w:t>Shfrytëzimi seksual i fëmijëve:</w:t>
      </w:r>
      <w:r w:rsidRPr="006B700E">
        <w:rPr>
          <w:sz w:val="24"/>
          <w:szCs w:val="24"/>
        </w:rPr>
        <w:t xml:space="preserve"> </w:t>
      </w:r>
      <w:r w:rsidR="00F46074" w:rsidRPr="006B700E">
        <w:rPr>
          <w:sz w:val="24"/>
          <w:szCs w:val="24"/>
        </w:rPr>
        <w:t xml:space="preserve">Ligji ndalon shfrytëzimin seksual me pagesë, shitjen, </w:t>
      </w:r>
      <w:r w:rsidR="00CF18A3" w:rsidRPr="006B700E">
        <w:rPr>
          <w:sz w:val="24"/>
          <w:szCs w:val="24"/>
        </w:rPr>
        <w:t xml:space="preserve">përgatitjen </w:t>
      </w:r>
      <w:r w:rsidR="00CF18A3" w:rsidRPr="006B700E">
        <w:rPr>
          <w:sz w:val="24"/>
          <w:szCs w:val="24"/>
        </w:rPr>
        <w:lastRenderedPageBreak/>
        <w:t xml:space="preserve">dhe përdorimin e fëmijëve për shfrytëzim me pagesë, përfshirë edhe trafikimin seksual. Dënimet për shfrytëzim seksual me pagesë të një fëmije variojnë nga tetë deri në 15 vite burgim. </w:t>
      </w:r>
      <w:r w:rsidRPr="006B700E">
        <w:rPr>
          <w:sz w:val="24"/>
          <w:szCs w:val="24"/>
        </w:rPr>
        <w:t xml:space="preserve">Vendi ka një ligj që dënon përdhunimin; mosha minimale për marrëdhënie seksuale me pëlqim është 14 vjeç. Ndëshkimi i parashikuar me ligj për përdhunimin është burgim nga pesë deri në 15 vjet. Në rrethana të rënduara, </w:t>
      </w:r>
      <w:r w:rsidR="00CF18A3" w:rsidRPr="006B700E">
        <w:rPr>
          <w:sz w:val="24"/>
          <w:szCs w:val="24"/>
        </w:rPr>
        <w:t>d</w:t>
      </w:r>
      <w:r w:rsidRPr="006B700E">
        <w:rPr>
          <w:sz w:val="24"/>
          <w:szCs w:val="24"/>
        </w:rPr>
        <w:t>ë</w:t>
      </w:r>
      <w:r w:rsidR="00CF18A3" w:rsidRPr="006B700E">
        <w:rPr>
          <w:sz w:val="24"/>
          <w:szCs w:val="24"/>
        </w:rPr>
        <w:t>ni</w:t>
      </w:r>
      <w:r w:rsidRPr="006B700E">
        <w:rPr>
          <w:sz w:val="24"/>
          <w:szCs w:val="24"/>
        </w:rPr>
        <w:t xml:space="preserve">mi mund të shkojë deri në dënim me burgim të përjetshëm. Ligji ndalon prodhimin ose shpërndarjen e pornografisë me fëmijë; </w:t>
      </w:r>
      <w:r w:rsidR="00CF18A3" w:rsidRPr="006B700E">
        <w:rPr>
          <w:sz w:val="24"/>
          <w:szCs w:val="24"/>
        </w:rPr>
        <w:t xml:space="preserve">e cila </w:t>
      </w:r>
      <w:r w:rsidRPr="006B700E">
        <w:rPr>
          <w:sz w:val="24"/>
          <w:szCs w:val="24"/>
        </w:rPr>
        <w:t>dë</w:t>
      </w:r>
      <w:r w:rsidR="00CF18A3" w:rsidRPr="006B700E">
        <w:rPr>
          <w:sz w:val="24"/>
          <w:szCs w:val="24"/>
        </w:rPr>
        <w:t xml:space="preserve">nohet </w:t>
      </w:r>
      <w:r w:rsidRPr="006B700E">
        <w:rPr>
          <w:sz w:val="24"/>
          <w:szCs w:val="24"/>
        </w:rPr>
        <w:t xml:space="preserve">nga tre deri në 10 vjet. Zotërimi i pornografisë me fëmijë është gjithashtu i paligjshëm.  </w:t>
      </w:r>
    </w:p>
    <w:p w14:paraId="0D48B119" w14:textId="17D8D172" w:rsidR="009E1169" w:rsidRPr="006B700E" w:rsidRDefault="007A5878" w:rsidP="007A5878">
      <w:pPr>
        <w:jc w:val="both"/>
        <w:rPr>
          <w:sz w:val="24"/>
          <w:szCs w:val="24"/>
        </w:rPr>
      </w:pPr>
      <w:r w:rsidRPr="006B700E">
        <w:rPr>
          <w:sz w:val="24"/>
          <w:szCs w:val="24"/>
        </w:rPr>
        <w:t xml:space="preserve">Autoritetet në përgjithësi e zbatuan efektshëm ligjin kundër përdhunimit dhe shfrytëzimit seksual të të miturve, por OJQ-të raportuan se rrallë u zbatua ligji që ndalon pornografinë me fëmijë dhe shfrytëzimin e fëmijëve </w:t>
      </w:r>
      <w:r w:rsidRPr="006B700E">
        <w:rPr>
          <w:i/>
          <w:sz w:val="24"/>
          <w:szCs w:val="24"/>
        </w:rPr>
        <w:t>online</w:t>
      </w:r>
      <w:r w:rsidRPr="006B700E">
        <w:rPr>
          <w:sz w:val="24"/>
          <w:szCs w:val="24"/>
        </w:rPr>
        <w:t xml:space="preserve">. </w:t>
      </w:r>
    </w:p>
    <w:p w14:paraId="38BECDF2" w14:textId="2B7009F2" w:rsidR="009E1169" w:rsidRPr="006B700E" w:rsidRDefault="0014349F" w:rsidP="0014349F">
      <w:pPr>
        <w:rPr>
          <w:rFonts w:eastAsia="MS Mincho"/>
          <w:sz w:val="24"/>
          <w:szCs w:val="24"/>
        </w:rPr>
      </w:pPr>
      <w:r w:rsidRPr="006B700E">
        <w:rPr>
          <w:sz w:val="24"/>
          <w:szCs w:val="24"/>
        </w:rPr>
        <w:t xml:space="preserve">Ministria e Brendshme raportoi se, deri në muajin korrik, </w:t>
      </w:r>
      <w:r w:rsidR="009E1169" w:rsidRPr="006B700E">
        <w:rPr>
          <w:sz w:val="24"/>
          <w:szCs w:val="24"/>
        </w:rPr>
        <w:t xml:space="preserve">40 </w:t>
      </w:r>
      <w:r w:rsidRPr="006B700E">
        <w:rPr>
          <w:sz w:val="24"/>
          <w:szCs w:val="24"/>
        </w:rPr>
        <w:t>nga</w:t>
      </w:r>
      <w:r w:rsidR="009E1169" w:rsidRPr="006B700E">
        <w:rPr>
          <w:sz w:val="24"/>
          <w:szCs w:val="24"/>
        </w:rPr>
        <w:t xml:space="preserve"> 60 </w:t>
      </w:r>
      <w:r w:rsidRPr="006B700E">
        <w:rPr>
          <w:sz w:val="24"/>
          <w:szCs w:val="24"/>
        </w:rPr>
        <w:t xml:space="preserve">viktimat e </w:t>
      </w:r>
      <w:r w:rsidR="009E1169" w:rsidRPr="006B700E">
        <w:rPr>
          <w:sz w:val="24"/>
          <w:szCs w:val="24"/>
        </w:rPr>
        <w:t>identifi</w:t>
      </w:r>
      <w:r w:rsidRPr="006B700E">
        <w:rPr>
          <w:sz w:val="24"/>
          <w:szCs w:val="24"/>
        </w:rPr>
        <w:t>kuara ose viktimat e mundshme të trafikimit ishin të mitur. Gjatë vitit, “</w:t>
      </w:r>
      <w:r w:rsidR="009E1169" w:rsidRPr="006B700E">
        <w:rPr>
          <w:rFonts w:eastAsia="MS Mincho"/>
          <w:sz w:val="24"/>
          <w:szCs w:val="24"/>
        </w:rPr>
        <w:t>Nisma ARSIS</w:t>
      </w:r>
      <w:r w:rsidRPr="006B700E">
        <w:rPr>
          <w:rFonts w:eastAsia="MS Mincho"/>
          <w:sz w:val="24"/>
          <w:szCs w:val="24"/>
        </w:rPr>
        <w:t>”</w:t>
      </w:r>
      <w:r w:rsidR="009E1169" w:rsidRPr="006B700E">
        <w:rPr>
          <w:rFonts w:eastAsia="MS Mincho"/>
          <w:sz w:val="24"/>
          <w:szCs w:val="24"/>
        </w:rPr>
        <w:t xml:space="preserve"> identifi</w:t>
      </w:r>
      <w:r w:rsidRPr="006B700E">
        <w:rPr>
          <w:rFonts w:eastAsia="MS Mincho"/>
          <w:sz w:val="24"/>
          <w:szCs w:val="24"/>
        </w:rPr>
        <w:t xml:space="preserve">koi </w:t>
      </w:r>
      <w:r w:rsidR="009E1169" w:rsidRPr="006B700E">
        <w:rPr>
          <w:rFonts w:eastAsia="MS Mincho"/>
          <w:sz w:val="24"/>
          <w:szCs w:val="24"/>
        </w:rPr>
        <w:t xml:space="preserve">30 </w:t>
      </w:r>
      <w:r w:rsidRPr="006B700E">
        <w:rPr>
          <w:rFonts w:eastAsia="MS Mincho"/>
          <w:sz w:val="24"/>
          <w:szCs w:val="24"/>
        </w:rPr>
        <w:t xml:space="preserve">fëmijë viktima të abuzimit seksual. OJQ-të raportuan se disa fëmijë viktima ishin ngacmuar seksualisht në media sociale. Vajzat në moshat nga </w:t>
      </w:r>
      <w:r w:rsidR="009E1169" w:rsidRPr="006B700E">
        <w:rPr>
          <w:rFonts w:eastAsia="MS Mincho"/>
          <w:sz w:val="24"/>
          <w:szCs w:val="24"/>
        </w:rPr>
        <w:t xml:space="preserve">14 </w:t>
      </w:r>
      <w:r w:rsidRPr="006B700E">
        <w:rPr>
          <w:rFonts w:eastAsia="MS Mincho"/>
          <w:sz w:val="24"/>
          <w:szCs w:val="24"/>
        </w:rPr>
        <w:t xml:space="preserve">deri në </w:t>
      </w:r>
      <w:r w:rsidR="009E1169" w:rsidRPr="006B700E">
        <w:rPr>
          <w:rFonts w:eastAsia="MS Mincho"/>
          <w:sz w:val="24"/>
          <w:szCs w:val="24"/>
        </w:rPr>
        <w:t xml:space="preserve">16 </w:t>
      </w:r>
      <w:r w:rsidRPr="006B700E">
        <w:rPr>
          <w:rFonts w:eastAsia="MS Mincho"/>
          <w:sz w:val="24"/>
          <w:szCs w:val="24"/>
        </w:rPr>
        <w:t>vjeç në mënyrë të rregullt gënjeheshin nga abuzuesit që të largoheshin nga shtëpia për disa ditë. “</w:t>
      </w:r>
      <w:r w:rsidR="009E1169" w:rsidRPr="006B700E">
        <w:rPr>
          <w:rFonts w:eastAsia="MS Mincho"/>
          <w:sz w:val="24"/>
          <w:szCs w:val="24"/>
        </w:rPr>
        <w:t>Terre des Hommes</w:t>
      </w:r>
      <w:r w:rsidRPr="006B700E">
        <w:rPr>
          <w:rFonts w:eastAsia="MS Mincho"/>
          <w:sz w:val="24"/>
          <w:szCs w:val="24"/>
        </w:rPr>
        <w:t xml:space="preserve">” raportoi modele të ngjashme abuzimi, duke vërejtur rekrutues nga </w:t>
      </w:r>
      <w:r w:rsidR="009E1169" w:rsidRPr="006B700E">
        <w:rPr>
          <w:rFonts w:eastAsia="MS Mincho"/>
          <w:sz w:val="24"/>
          <w:szCs w:val="24"/>
        </w:rPr>
        <w:t>Kosov</w:t>
      </w:r>
      <w:r w:rsidR="00DA349E" w:rsidRPr="006B700E">
        <w:rPr>
          <w:rFonts w:eastAsia="MS Mincho"/>
          <w:sz w:val="24"/>
          <w:szCs w:val="24"/>
        </w:rPr>
        <w:t>a</w:t>
      </w:r>
      <w:r w:rsidR="009E1169" w:rsidRPr="006B700E">
        <w:rPr>
          <w:rFonts w:eastAsia="MS Mincho"/>
          <w:sz w:val="24"/>
          <w:szCs w:val="24"/>
        </w:rPr>
        <w:t xml:space="preserve">, </w:t>
      </w:r>
      <w:r w:rsidRPr="006B700E">
        <w:rPr>
          <w:rFonts w:eastAsia="MS Mincho"/>
          <w:sz w:val="24"/>
          <w:szCs w:val="24"/>
        </w:rPr>
        <w:t>Maqedonia e Veriut dhe</w:t>
      </w:r>
      <w:r w:rsidR="009E1169" w:rsidRPr="006B700E">
        <w:rPr>
          <w:rFonts w:eastAsia="MS Mincho"/>
          <w:sz w:val="24"/>
          <w:szCs w:val="24"/>
        </w:rPr>
        <w:t xml:space="preserve"> Ital</w:t>
      </w:r>
      <w:r w:rsidRPr="006B700E">
        <w:rPr>
          <w:rFonts w:eastAsia="MS Mincho"/>
          <w:sz w:val="24"/>
          <w:szCs w:val="24"/>
        </w:rPr>
        <w:t>ia</w:t>
      </w:r>
      <w:r w:rsidR="009E1169" w:rsidRPr="006B700E">
        <w:rPr>
          <w:rFonts w:eastAsia="MS Mincho"/>
          <w:sz w:val="24"/>
          <w:szCs w:val="24"/>
        </w:rPr>
        <w:t xml:space="preserve"> </w:t>
      </w:r>
      <w:r w:rsidRPr="006B700E">
        <w:rPr>
          <w:rFonts w:eastAsia="MS Mincho"/>
          <w:sz w:val="24"/>
          <w:szCs w:val="24"/>
        </w:rPr>
        <w:t xml:space="preserve">të cilët joshnin </w:t>
      </w:r>
      <w:r w:rsidR="00EE4F00" w:rsidRPr="006B700E">
        <w:rPr>
          <w:rFonts w:eastAsia="MS Mincho"/>
          <w:sz w:val="24"/>
          <w:szCs w:val="24"/>
        </w:rPr>
        <w:t xml:space="preserve">vajzat nëpërmjet medias sociale për viktimizim në të ardhmen. </w:t>
      </w:r>
    </w:p>
    <w:p w14:paraId="3DC79912" w14:textId="0320B5B1" w:rsidR="00EB3415" w:rsidRPr="006B700E" w:rsidRDefault="00DA349E" w:rsidP="00EB3415">
      <w:pPr>
        <w:rPr>
          <w:rFonts w:eastAsia="MS Mincho"/>
          <w:sz w:val="24"/>
          <w:szCs w:val="24"/>
        </w:rPr>
      </w:pPr>
      <w:r w:rsidRPr="006B700E">
        <w:rPr>
          <w:b/>
          <w:sz w:val="24"/>
          <w:szCs w:val="24"/>
        </w:rPr>
        <w:t>Fëmijët e zhvendosur:</w:t>
      </w:r>
      <w:r w:rsidR="009E1169" w:rsidRPr="006B700E">
        <w:rPr>
          <w:sz w:val="24"/>
          <w:szCs w:val="24"/>
        </w:rPr>
        <w:t xml:space="preserve">  </w:t>
      </w:r>
      <w:r w:rsidRPr="006B700E">
        <w:rPr>
          <w:sz w:val="24"/>
          <w:szCs w:val="24"/>
        </w:rPr>
        <w:t>Në fund të vitit, sistemi i sinjalizimit Amber, në pritje që nga një seminar ndërkombëtar i vitit 2020 organizuar nga Qendra për të Drejtat e Fëmijës në Shqipëri dhe Qendra Globale për Fëmijët e Humbur dhe të Shfrytëzuar</w:t>
      </w:r>
      <w:r w:rsidR="00965CCC" w:rsidRPr="006B700E">
        <w:rPr>
          <w:sz w:val="24"/>
          <w:szCs w:val="24"/>
        </w:rPr>
        <w:t>,</w:t>
      </w:r>
      <w:r w:rsidRPr="006B700E">
        <w:rPr>
          <w:sz w:val="24"/>
          <w:szCs w:val="24"/>
        </w:rPr>
        <w:t xml:space="preserve"> nuk ishte vënë akoma në punë. Kishte</w:t>
      </w:r>
      <w:r w:rsidR="00965CCC" w:rsidRPr="006B700E">
        <w:rPr>
          <w:sz w:val="24"/>
          <w:szCs w:val="24"/>
        </w:rPr>
        <w:t xml:space="preserve"> </w:t>
      </w:r>
      <w:r w:rsidRPr="006B700E">
        <w:rPr>
          <w:sz w:val="24"/>
          <w:szCs w:val="24"/>
        </w:rPr>
        <w:t>një numër të madh të fëmijëve të pashoqëruar, të zhvendosur të cilët ishin të pastrehë, veçanërisht në komunitetin rom. Disa fëmijë lypnin dhe disa u bë</w:t>
      </w:r>
      <w:r w:rsidR="00965CCC" w:rsidRPr="006B700E">
        <w:rPr>
          <w:sz w:val="24"/>
          <w:szCs w:val="24"/>
        </w:rPr>
        <w:t>n</w:t>
      </w:r>
      <w:r w:rsidRPr="006B700E">
        <w:rPr>
          <w:sz w:val="24"/>
          <w:szCs w:val="24"/>
        </w:rPr>
        <w:t xml:space="preserve">ë viktima të trafikimit. Duke qenë se ligji ndalon </w:t>
      </w:r>
      <w:r w:rsidR="00EB3415" w:rsidRPr="006B700E">
        <w:rPr>
          <w:sz w:val="24"/>
          <w:szCs w:val="24"/>
        </w:rPr>
        <w:t>ndjekjen penale për fëmijët nën moshë</w:t>
      </w:r>
      <w:r w:rsidR="00965CCC" w:rsidRPr="006B700E">
        <w:rPr>
          <w:sz w:val="24"/>
          <w:szCs w:val="24"/>
        </w:rPr>
        <w:t>n</w:t>
      </w:r>
      <w:r w:rsidR="00EB3415" w:rsidRPr="006B700E">
        <w:rPr>
          <w:sz w:val="24"/>
          <w:szCs w:val="24"/>
        </w:rPr>
        <w:t xml:space="preserve"> 14 vjeç për plaçkitje, bandat kriminale disa herë përdorën fëmijët e zhvendosur për të plaçkitur shtëpi. Nuk kishte njësi policore të specializuar për personat e humbur. “</w:t>
      </w:r>
      <w:r w:rsidR="009E1169" w:rsidRPr="006B700E">
        <w:rPr>
          <w:rFonts w:eastAsia="MS Mincho"/>
          <w:sz w:val="24"/>
          <w:szCs w:val="24"/>
        </w:rPr>
        <w:t>Nisma ARSIS</w:t>
      </w:r>
      <w:r w:rsidR="00EB3415" w:rsidRPr="006B700E">
        <w:rPr>
          <w:rFonts w:eastAsia="MS Mincho"/>
          <w:sz w:val="24"/>
          <w:szCs w:val="24"/>
        </w:rPr>
        <w:t xml:space="preserve">” raportoi se numri i fëmijëve në rrugë ishte rritur nga viti i mëparshëm, kryesisht në kryeqytet. </w:t>
      </w:r>
    </w:p>
    <w:p w14:paraId="7F0A4741" w14:textId="18E6E9D8" w:rsidR="00057DF0" w:rsidRPr="006B700E" w:rsidRDefault="00057DF0" w:rsidP="00057DF0">
      <w:pPr>
        <w:jc w:val="both"/>
        <w:rPr>
          <w:sz w:val="24"/>
          <w:szCs w:val="24"/>
        </w:rPr>
      </w:pPr>
      <w:r w:rsidRPr="006B700E">
        <w:rPr>
          <w:b/>
          <w:sz w:val="24"/>
          <w:szCs w:val="24"/>
        </w:rPr>
        <w:t>Fëmijët në institucione përkujdesjeje:</w:t>
      </w:r>
      <w:r w:rsidRPr="006B700E">
        <w:rPr>
          <w:sz w:val="24"/>
          <w:szCs w:val="24"/>
        </w:rPr>
        <w:t xml:space="preserve"> Qendra Kombëtare Terapeutike dhe Rehabilituese për Fëmijët u rihap më 13 prill, pasi kishte qenë e dëmtuar nga tërmeti i nëntorit të vitit 2019. Kjo qendër ofroi shërbime diagnostifikuese, trajtim, arsim dhe ndihmë </w:t>
      </w:r>
      <w:r w:rsidR="00AA4F36" w:rsidRPr="006B700E">
        <w:rPr>
          <w:sz w:val="24"/>
          <w:szCs w:val="24"/>
        </w:rPr>
        <w:t>me zhvillimin dhe rehabilitimin e fëmijëve deri në moshën 6 vjeç. Gjithashtu, qeveria mbajti një departament të veçantë për Shërbim Psikiatrie për Fëmijë dhe Adoleshentë në spitalin publik “Nënë Tereza” në Tiranë</w:t>
      </w:r>
      <w:r w:rsidR="00965CCC" w:rsidRPr="006B700E">
        <w:rPr>
          <w:sz w:val="24"/>
          <w:szCs w:val="24"/>
        </w:rPr>
        <w:t>,</w:t>
      </w:r>
      <w:r w:rsidR="00AA4F36" w:rsidRPr="006B700E">
        <w:rPr>
          <w:sz w:val="24"/>
          <w:szCs w:val="24"/>
        </w:rPr>
        <w:t xml:space="preserve"> i cili </w:t>
      </w:r>
      <w:r w:rsidR="00AA4F36" w:rsidRPr="006B700E">
        <w:rPr>
          <w:sz w:val="24"/>
          <w:szCs w:val="24"/>
        </w:rPr>
        <w:lastRenderedPageBreak/>
        <w:t xml:space="preserve">ofronte shërbime kujdesi spitalor për shëndetin psikiatrik për fëmijët dhe adoleshentët.  </w:t>
      </w:r>
    </w:p>
    <w:p w14:paraId="07A7D854" w14:textId="3F0EE068" w:rsidR="009E1169" w:rsidRPr="006B700E" w:rsidRDefault="00AA4F36" w:rsidP="005019D3">
      <w:pPr>
        <w:rPr>
          <w:rFonts w:eastAsia="MS Mincho"/>
          <w:sz w:val="24"/>
          <w:szCs w:val="24"/>
        </w:rPr>
      </w:pPr>
      <w:r w:rsidRPr="006B700E">
        <w:rPr>
          <w:sz w:val="24"/>
          <w:szCs w:val="24"/>
        </w:rPr>
        <w:t xml:space="preserve">Gjatë vitit, </w:t>
      </w:r>
      <w:r w:rsidRPr="006B700E">
        <w:rPr>
          <w:rFonts w:eastAsia="MS Mincho"/>
          <w:sz w:val="24"/>
          <w:szCs w:val="24"/>
        </w:rPr>
        <w:t>“</w:t>
      </w:r>
      <w:r w:rsidR="009E1169" w:rsidRPr="006B700E">
        <w:rPr>
          <w:rFonts w:eastAsia="MS Mincho"/>
          <w:sz w:val="24"/>
          <w:szCs w:val="24"/>
        </w:rPr>
        <w:t>Nisma ARSIS</w:t>
      </w:r>
      <w:r w:rsidRPr="006B700E">
        <w:rPr>
          <w:rFonts w:eastAsia="MS Mincho"/>
          <w:sz w:val="24"/>
          <w:szCs w:val="24"/>
        </w:rPr>
        <w:t>” dhe</w:t>
      </w:r>
      <w:r w:rsidR="009E1169" w:rsidRPr="006B700E">
        <w:rPr>
          <w:rFonts w:eastAsia="MS Mincho"/>
          <w:sz w:val="24"/>
          <w:szCs w:val="24"/>
        </w:rPr>
        <w:t xml:space="preserve"> UNICEF</w:t>
      </w:r>
      <w:r w:rsidRPr="006B700E">
        <w:rPr>
          <w:rFonts w:eastAsia="MS Mincho"/>
          <w:sz w:val="24"/>
          <w:szCs w:val="24"/>
        </w:rPr>
        <w:t xml:space="preserve">-i </w:t>
      </w:r>
      <w:r w:rsidR="00601424" w:rsidRPr="006B700E">
        <w:rPr>
          <w:rFonts w:eastAsia="MS Mincho"/>
          <w:sz w:val="24"/>
          <w:szCs w:val="24"/>
        </w:rPr>
        <w:t xml:space="preserve">përfunduan vlerësimin e fëmijëve të vendosur në institucione rezidenciale publike për periudhën </w:t>
      </w:r>
      <w:r w:rsidR="009E1169" w:rsidRPr="006B700E">
        <w:rPr>
          <w:rFonts w:eastAsia="MS Mincho"/>
          <w:sz w:val="24"/>
          <w:szCs w:val="24"/>
        </w:rPr>
        <w:t xml:space="preserve">2021-2022. </w:t>
      </w:r>
      <w:r w:rsidR="00601424" w:rsidRPr="006B700E">
        <w:rPr>
          <w:rFonts w:eastAsia="MS Mincho"/>
          <w:sz w:val="24"/>
          <w:szCs w:val="24"/>
        </w:rPr>
        <w:t xml:space="preserve">Vlerësimi i </w:t>
      </w:r>
      <w:r w:rsidR="009E1169" w:rsidRPr="006B700E">
        <w:rPr>
          <w:rFonts w:eastAsia="MS Mincho"/>
          <w:sz w:val="24"/>
          <w:szCs w:val="24"/>
        </w:rPr>
        <w:t xml:space="preserve">68 </w:t>
      </w:r>
      <w:r w:rsidR="00601424" w:rsidRPr="006B700E">
        <w:rPr>
          <w:rFonts w:eastAsia="MS Mincho"/>
          <w:sz w:val="24"/>
          <w:szCs w:val="24"/>
        </w:rPr>
        <w:t xml:space="preserve">fëmijëve në katër institucione publike </w:t>
      </w:r>
      <w:r w:rsidR="005019D3" w:rsidRPr="006B700E">
        <w:rPr>
          <w:rFonts w:eastAsia="MS Mincho"/>
          <w:sz w:val="24"/>
          <w:szCs w:val="24"/>
        </w:rPr>
        <w:t>zbuloi se më shumë se dy e treta e fëmijëve të strehuar në institucione kishin familje dhe prindër biologjikë gjallë dhe arsyet për ndarjen e tyre nga familjet ishin shpesh të lidhura me abuzimin, keqtrajtimin, shfrytëzimin, braktisjen ose vështirësitë ekonomike.</w:t>
      </w:r>
      <w:r w:rsidR="00741A87" w:rsidRPr="006B700E">
        <w:rPr>
          <w:rFonts w:eastAsia="MS Mincho"/>
          <w:sz w:val="24"/>
          <w:szCs w:val="24"/>
        </w:rPr>
        <w:t xml:space="preserve"> Gjithashtu, </w:t>
      </w:r>
      <w:r w:rsidR="009E1169" w:rsidRPr="006B700E">
        <w:rPr>
          <w:rFonts w:eastAsia="MS Mincho"/>
          <w:sz w:val="24"/>
          <w:szCs w:val="24"/>
        </w:rPr>
        <w:t>70 p</w:t>
      </w:r>
      <w:r w:rsidR="00741A87" w:rsidRPr="006B700E">
        <w:rPr>
          <w:rFonts w:eastAsia="MS Mincho"/>
          <w:sz w:val="24"/>
          <w:szCs w:val="24"/>
        </w:rPr>
        <w:t>ë</w:t>
      </w:r>
      <w:r w:rsidR="009E1169" w:rsidRPr="006B700E">
        <w:rPr>
          <w:rFonts w:eastAsia="MS Mincho"/>
          <w:sz w:val="24"/>
          <w:szCs w:val="24"/>
        </w:rPr>
        <w:t>r</w:t>
      </w:r>
      <w:r w:rsidR="00741A87" w:rsidRPr="006B700E">
        <w:rPr>
          <w:rFonts w:eastAsia="MS Mincho"/>
          <w:sz w:val="24"/>
          <w:szCs w:val="24"/>
        </w:rPr>
        <w:t xml:space="preserve"> qind e fëmijëve të vlerësuar ishin identifikuar me trauma të patrajtuara dhe shfaqnin vonesa zhvillimore. </w:t>
      </w:r>
      <w:r w:rsidR="00C53DC1" w:rsidRPr="006B700E">
        <w:rPr>
          <w:rFonts w:eastAsia="MS Mincho"/>
          <w:sz w:val="24"/>
          <w:szCs w:val="24"/>
        </w:rPr>
        <w:t xml:space="preserve">Pas këtij vlerësimi, Plani Kombëtar i Deinstitucionalizimit u integrua në Programin e Fondit Social të periudhës </w:t>
      </w:r>
      <w:r w:rsidR="009E1169" w:rsidRPr="006B700E">
        <w:rPr>
          <w:rFonts w:eastAsia="MS Mincho"/>
          <w:sz w:val="24"/>
          <w:szCs w:val="24"/>
        </w:rPr>
        <w:t>2021-2023</w:t>
      </w:r>
      <w:r w:rsidR="00C53DC1" w:rsidRPr="006B700E">
        <w:rPr>
          <w:rFonts w:eastAsia="MS Mincho"/>
          <w:sz w:val="24"/>
          <w:szCs w:val="24"/>
        </w:rPr>
        <w:t xml:space="preserve">, duke e vendosur qeverinë në pozita pune për krijimin dhe mbështetjen financiare të shërbimeve alternative të kujdesit për fëmijët në bashkitë e </w:t>
      </w:r>
      <w:r w:rsidR="009E1169" w:rsidRPr="006B700E">
        <w:rPr>
          <w:rFonts w:eastAsia="MS Mincho"/>
          <w:sz w:val="24"/>
          <w:szCs w:val="24"/>
        </w:rPr>
        <w:t>Vlor</w:t>
      </w:r>
      <w:r w:rsidR="00C53DC1" w:rsidRPr="006B700E">
        <w:rPr>
          <w:rFonts w:eastAsia="MS Mincho"/>
          <w:sz w:val="24"/>
          <w:szCs w:val="24"/>
        </w:rPr>
        <w:t>ës</w:t>
      </w:r>
      <w:r w:rsidR="009E1169" w:rsidRPr="006B700E">
        <w:rPr>
          <w:rFonts w:eastAsia="MS Mincho"/>
          <w:sz w:val="24"/>
          <w:szCs w:val="24"/>
        </w:rPr>
        <w:t xml:space="preserve"> </w:t>
      </w:r>
      <w:r w:rsidR="00C53DC1" w:rsidRPr="006B700E">
        <w:rPr>
          <w:rFonts w:eastAsia="MS Mincho"/>
          <w:sz w:val="24"/>
          <w:szCs w:val="24"/>
        </w:rPr>
        <w:t xml:space="preserve">dhe të </w:t>
      </w:r>
      <w:r w:rsidR="009E1169" w:rsidRPr="006B700E">
        <w:rPr>
          <w:rFonts w:eastAsia="MS Mincho"/>
          <w:sz w:val="24"/>
          <w:szCs w:val="24"/>
        </w:rPr>
        <w:t>Korç</w:t>
      </w:r>
      <w:r w:rsidR="00C53DC1" w:rsidRPr="006B700E">
        <w:rPr>
          <w:rFonts w:eastAsia="MS Mincho"/>
          <w:sz w:val="24"/>
          <w:szCs w:val="24"/>
        </w:rPr>
        <w:t>ës</w:t>
      </w:r>
      <w:r w:rsidR="009E1169" w:rsidRPr="006B700E">
        <w:rPr>
          <w:rFonts w:eastAsia="MS Mincho"/>
          <w:sz w:val="24"/>
          <w:szCs w:val="24"/>
        </w:rPr>
        <w:t xml:space="preserve">. </w:t>
      </w:r>
      <w:r w:rsidR="00057006" w:rsidRPr="006B700E">
        <w:rPr>
          <w:rFonts w:eastAsia="MS Mincho"/>
          <w:sz w:val="24"/>
          <w:szCs w:val="24"/>
        </w:rPr>
        <w:t xml:space="preserve">Këto shërbime ende mbetet të krijohen. </w:t>
      </w:r>
    </w:p>
    <w:p w14:paraId="4D22C24A" w14:textId="1B0BCFE4" w:rsidR="009E1169" w:rsidRPr="006B700E" w:rsidRDefault="009B7D57" w:rsidP="009E1169">
      <w:pPr>
        <w:rPr>
          <w:rFonts w:eastAsia="MS Mincho"/>
          <w:sz w:val="24"/>
          <w:szCs w:val="24"/>
        </w:rPr>
      </w:pPr>
      <w:r w:rsidRPr="006B700E">
        <w:rPr>
          <w:sz w:val="24"/>
          <w:szCs w:val="24"/>
        </w:rPr>
        <w:t>OJQ-të raportuan se sistemi për mbrojtjen e fëmijëve në përgjithësi funksiononte, megjithëse njësitë e zbatimit të ligjit kishin mungesa mjedisesh dhe trajnimi të përshtatshëm për marrjen në pyetje në përputhje me moshën për të mituri</w:t>
      </w:r>
      <w:r w:rsidR="00965CCC" w:rsidRPr="006B700E">
        <w:rPr>
          <w:sz w:val="24"/>
          <w:szCs w:val="24"/>
        </w:rPr>
        <w:t>t</w:t>
      </w:r>
      <w:r w:rsidRPr="006B700E">
        <w:rPr>
          <w:sz w:val="24"/>
          <w:szCs w:val="24"/>
        </w:rPr>
        <w:t xml:space="preserve"> në rajonet e policisë dhe në zyrat e prokurorisë.</w:t>
      </w:r>
      <w:r w:rsidR="0003177C" w:rsidRPr="006B700E">
        <w:rPr>
          <w:sz w:val="24"/>
          <w:szCs w:val="24"/>
        </w:rPr>
        <w:t xml:space="preserve"> Fëmijët zakonisht qëndronin në institucione për periudha të gjata për shkak të paqartësive ligjore dhe procedurave të zgjatura në lidhje me kujdestarinë e fëmijës. </w:t>
      </w:r>
      <w:r w:rsidR="009E1169" w:rsidRPr="006B700E">
        <w:rPr>
          <w:rFonts w:eastAsia="MS Mincho"/>
          <w:sz w:val="24"/>
          <w:szCs w:val="24"/>
        </w:rPr>
        <w:t>Institu</w:t>
      </w:r>
      <w:r w:rsidR="0003177C" w:rsidRPr="006B700E">
        <w:rPr>
          <w:rFonts w:eastAsia="MS Mincho"/>
          <w:sz w:val="24"/>
          <w:szCs w:val="24"/>
        </w:rPr>
        <w:t>c</w:t>
      </w:r>
      <w:r w:rsidR="009E1169" w:rsidRPr="006B700E">
        <w:rPr>
          <w:rFonts w:eastAsia="MS Mincho"/>
          <w:sz w:val="24"/>
          <w:szCs w:val="24"/>
        </w:rPr>
        <w:t>ion</w:t>
      </w:r>
      <w:r w:rsidR="0003177C" w:rsidRPr="006B700E">
        <w:rPr>
          <w:rFonts w:eastAsia="MS Mincho"/>
          <w:sz w:val="24"/>
          <w:szCs w:val="24"/>
        </w:rPr>
        <w:t>eve u mungonin shërbimet e specializuara, si për shembull psikoterapistët dhe logopedët. Kishte mungesa të psikologëve</w:t>
      </w:r>
      <w:r w:rsidR="00965CCC" w:rsidRPr="006B700E">
        <w:rPr>
          <w:rFonts w:eastAsia="MS Mincho"/>
          <w:sz w:val="24"/>
          <w:szCs w:val="24"/>
        </w:rPr>
        <w:t xml:space="preserve"> të kualifikuar</w:t>
      </w:r>
      <w:r w:rsidR="0003177C" w:rsidRPr="006B700E">
        <w:rPr>
          <w:rFonts w:eastAsia="MS Mincho"/>
          <w:sz w:val="24"/>
          <w:szCs w:val="24"/>
        </w:rPr>
        <w:t xml:space="preserve">, punonjësve socialë </w:t>
      </w:r>
      <w:r w:rsidR="00965CCC" w:rsidRPr="006B700E">
        <w:rPr>
          <w:rFonts w:eastAsia="MS Mincho"/>
          <w:sz w:val="24"/>
          <w:szCs w:val="24"/>
        </w:rPr>
        <w:t xml:space="preserve">të kualifikuar </w:t>
      </w:r>
      <w:r w:rsidR="0003177C" w:rsidRPr="006B700E">
        <w:rPr>
          <w:rFonts w:eastAsia="MS Mincho"/>
          <w:sz w:val="24"/>
          <w:szCs w:val="24"/>
        </w:rPr>
        <w:t xml:space="preserve">dhe stafi </w:t>
      </w:r>
      <w:r w:rsidR="002D5D78" w:rsidRPr="006B700E">
        <w:rPr>
          <w:rFonts w:eastAsia="MS Mincho"/>
          <w:sz w:val="24"/>
          <w:szCs w:val="24"/>
        </w:rPr>
        <w:t>për mbi</w:t>
      </w:r>
      <w:r w:rsidR="0003177C" w:rsidRPr="006B700E">
        <w:rPr>
          <w:rFonts w:eastAsia="MS Mincho"/>
          <w:sz w:val="24"/>
          <w:szCs w:val="24"/>
        </w:rPr>
        <w:t>këqyr</w:t>
      </w:r>
      <w:r w:rsidR="002D5D78" w:rsidRPr="006B700E">
        <w:rPr>
          <w:rFonts w:eastAsia="MS Mincho"/>
          <w:sz w:val="24"/>
          <w:szCs w:val="24"/>
        </w:rPr>
        <w:t>jen e kujdesit</w:t>
      </w:r>
      <w:r w:rsidR="0003177C" w:rsidRPr="006B700E">
        <w:rPr>
          <w:rFonts w:eastAsia="MS Mincho"/>
          <w:sz w:val="24"/>
          <w:szCs w:val="24"/>
        </w:rPr>
        <w:t xml:space="preserve"> të kualifikuar</w:t>
      </w:r>
      <w:r w:rsidR="009E1169" w:rsidRPr="006B700E">
        <w:rPr>
          <w:rFonts w:eastAsia="MS Mincho"/>
          <w:sz w:val="24"/>
          <w:szCs w:val="24"/>
        </w:rPr>
        <w:t>.</w:t>
      </w:r>
    </w:p>
    <w:p w14:paraId="4F93A9A8" w14:textId="77777777" w:rsidR="002D5D78" w:rsidRPr="006B700E" w:rsidRDefault="002D5D78" w:rsidP="002D5D78">
      <w:pPr>
        <w:jc w:val="both"/>
        <w:rPr>
          <w:b/>
          <w:sz w:val="24"/>
          <w:szCs w:val="24"/>
        </w:rPr>
      </w:pPr>
      <w:r w:rsidRPr="006B700E">
        <w:rPr>
          <w:b/>
          <w:sz w:val="24"/>
          <w:szCs w:val="24"/>
        </w:rPr>
        <w:t xml:space="preserve">Antisemitizmi </w:t>
      </w:r>
    </w:p>
    <w:p w14:paraId="7AF30ADD" w14:textId="4C7BBCA2" w:rsidR="009E1169" w:rsidRPr="006B700E" w:rsidRDefault="002D5D78" w:rsidP="009E1169">
      <w:pPr>
        <w:rPr>
          <w:sz w:val="24"/>
          <w:szCs w:val="24"/>
        </w:rPr>
      </w:pPr>
      <w:r w:rsidRPr="006B700E">
        <w:rPr>
          <w:sz w:val="24"/>
          <w:szCs w:val="24"/>
        </w:rPr>
        <w:t xml:space="preserve">Popullsia hebre është përcaktuar të jetë nga </w:t>
      </w:r>
      <w:r w:rsidR="009E1169" w:rsidRPr="006B700E">
        <w:rPr>
          <w:sz w:val="24"/>
          <w:szCs w:val="24"/>
        </w:rPr>
        <w:t xml:space="preserve">40 </w:t>
      </w:r>
      <w:r w:rsidRPr="006B700E">
        <w:rPr>
          <w:sz w:val="24"/>
          <w:szCs w:val="24"/>
        </w:rPr>
        <w:t xml:space="preserve">deri në </w:t>
      </w:r>
      <w:r w:rsidR="009E1169" w:rsidRPr="006B700E">
        <w:rPr>
          <w:sz w:val="24"/>
          <w:szCs w:val="24"/>
        </w:rPr>
        <w:t>50 person</w:t>
      </w:r>
      <w:r w:rsidRPr="006B700E">
        <w:rPr>
          <w:sz w:val="24"/>
          <w:szCs w:val="24"/>
        </w:rPr>
        <w:t>a</w:t>
      </w:r>
      <w:r w:rsidR="009E1169" w:rsidRPr="006B700E">
        <w:rPr>
          <w:sz w:val="24"/>
          <w:szCs w:val="24"/>
        </w:rPr>
        <w:t xml:space="preserve">. </w:t>
      </w:r>
      <w:r w:rsidRPr="006B700E">
        <w:rPr>
          <w:sz w:val="24"/>
          <w:szCs w:val="24"/>
        </w:rPr>
        <w:t>Nuk pati raportime për veprime antisemitizmi.</w:t>
      </w:r>
    </w:p>
    <w:p w14:paraId="154C9E2F" w14:textId="77777777" w:rsidR="002D5D78" w:rsidRPr="006B700E" w:rsidRDefault="002D5D78" w:rsidP="002D5D78">
      <w:pPr>
        <w:jc w:val="both"/>
        <w:rPr>
          <w:b/>
          <w:sz w:val="24"/>
          <w:szCs w:val="24"/>
        </w:rPr>
      </w:pPr>
      <w:r w:rsidRPr="006B700E">
        <w:rPr>
          <w:b/>
          <w:sz w:val="24"/>
          <w:szCs w:val="24"/>
        </w:rPr>
        <w:t xml:space="preserve">Trafikimi i personave  </w:t>
      </w:r>
    </w:p>
    <w:p w14:paraId="3F053E8B" w14:textId="4021B060" w:rsidR="009E1169" w:rsidRPr="006B700E" w:rsidRDefault="002D5D78" w:rsidP="002D5D78">
      <w:pPr>
        <w:rPr>
          <w:sz w:val="24"/>
          <w:szCs w:val="24"/>
        </w:rPr>
      </w:pPr>
      <w:r w:rsidRPr="006B700E">
        <w:rPr>
          <w:sz w:val="24"/>
          <w:szCs w:val="24"/>
        </w:rPr>
        <w:t xml:space="preserve">Shikoni </w:t>
      </w:r>
      <w:r w:rsidRPr="006B700E">
        <w:rPr>
          <w:i/>
          <w:sz w:val="24"/>
          <w:szCs w:val="24"/>
        </w:rPr>
        <w:t xml:space="preserve">Raportin mbi Trafikimin e Personave </w:t>
      </w:r>
      <w:r w:rsidRPr="006B700E">
        <w:rPr>
          <w:sz w:val="24"/>
          <w:szCs w:val="24"/>
        </w:rPr>
        <w:t xml:space="preserve">të Departamentit të Shtetit në faqen: </w:t>
      </w:r>
      <w:hyperlink r:id="rId9">
        <w:r w:rsidR="009E1169" w:rsidRPr="006B700E">
          <w:rPr>
            <w:rStyle w:val="Hyperlink"/>
            <w:sz w:val="24"/>
            <w:szCs w:val="24"/>
          </w:rPr>
          <w:t>https://www.state.gov/trafficking-in-persons-report/</w:t>
        </w:r>
      </w:hyperlink>
      <w:r w:rsidR="009E1169" w:rsidRPr="006B700E">
        <w:rPr>
          <w:sz w:val="24"/>
          <w:szCs w:val="24"/>
        </w:rPr>
        <w:t>.</w:t>
      </w:r>
    </w:p>
    <w:p w14:paraId="29AC9DBE" w14:textId="77777777" w:rsidR="00036585" w:rsidRPr="006B700E" w:rsidRDefault="00036585" w:rsidP="00036585">
      <w:pPr>
        <w:jc w:val="both"/>
      </w:pPr>
      <w:r w:rsidRPr="006B700E">
        <w:rPr>
          <w:b/>
        </w:rPr>
        <w:t xml:space="preserve">Aktet e dhunës, kriminalizimit dhe abuzime të tjera të bazuara në orientimin seksual dhe identitetin gjinor </w:t>
      </w:r>
    </w:p>
    <w:p w14:paraId="0F1F5AAC" w14:textId="196472B6" w:rsidR="009E1169" w:rsidRPr="006B700E" w:rsidRDefault="00036585" w:rsidP="009E1169">
      <w:pPr>
        <w:rPr>
          <w:sz w:val="24"/>
          <w:szCs w:val="24"/>
        </w:rPr>
      </w:pPr>
      <w:r w:rsidRPr="006B700E">
        <w:rPr>
          <w:b/>
          <w:bCs/>
          <w:sz w:val="24"/>
          <w:szCs w:val="24"/>
        </w:rPr>
        <w:t>K</w:t>
      </w:r>
      <w:r w:rsidR="009E1169" w:rsidRPr="006B700E">
        <w:rPr>
          <w:b/>
          <w:bCs/>
          <w:sz w:val="24"/>
          <w:szCs w:val="24"/>
        </w:rPr>
        <w:t>riminalizi</w:t>
      </w:r>
      <w:r w:rsidRPr="006B700E">
        <w:rPr>
          <w:b/>
          <w:bCs/>
          <w:sz w:val="24"/>
          <w:szCs w:val="24"/>
        </w:rPr>
        <w:t>mi</w:t>
      </w:r>
      <w:r w:rsidR="009E1169" w:rsidRPr="006B700E">
        <w:rPr>
          <w:b/>
          <w:bCs/>
          <w:sz w:val="24"/>
          <w:szCs w:val="24"/>
        </w:rPr>
        <w:t>:</w:t>
      </w:r>
      <w:r w:rsidR="009E1169" w:rsidRPr="006B700E">
        <w:rPr>
          <w:sz w:val="24"/>
          <w:szCs w:val="24"/>
        </w:rPr>
        <w:t xml:space="preserve"> </w:t>
      </w:r>
      <w:r w:rsidRPr="006B700E">
        <w:rPr>
          <w:sz w:val="24"/>
          <w:szCs w:val="24"/>
        </w:rPr>
        <w:t xml:space="preserve">Nuk pati ligje që kriminalizojnë marrëdhëniet ose sjelljet seksuale brenda të </w:t>
      </w:r>
      <w:r w:rsidRPr="006B700E">
        <w:rPr>
          <w:sz w:val="24"/>
          <w:szCs w:val="24"/>
        </w:rPr>
        <w:lastRenderedPageBreak/>
        <w:t xml:space="preserve">njëjtit seks me pëlqim e nuk pati raportime për arrestime joproporcionale ose arbitrare për akuza të pajustifikueshme. </w:t>
      </w:r>
    </w:p>
    <w:p w14:paraId="40E62CEF" w14:textId="1A223076" w:rsidR="009E1169" w:rsidRPr="006B700E" w:rsidRDefault="00036585" w:rsidP="004A28AB">
      <w:pPr>
        <w:rPr>
          <w:sz w:val="24"/>
          <w:szCs w:val="24"/>
        </w:rPr>
      </w:pPr>
      <w:r w:rsidRPr="006B700E">
        <w:rPr>
          <w:b/>
          <w:bCs/>
          <w:sz w:val="24"/>
          <w:szCs w:val="24"/>
        </w:rPr>
        <w:t xml:space="preserve">Dhuna ndaj </w:t>
      </w:r>
      <w:r w:rsidR="007B5E4C" w:rsidRPr="006B700E">
        <w:rPr>
          <w:b/>
          <w:bCs/>
          <w:sz w:val="24"/>
          <w:szCs w:val="24"/>
        </w:rPr>
        <w:t>p</w:t>
      </w:r>
      <w:r w:rsidRPr="006B700E">
        <w:rPr>
          <w:b/>
          <w:bCs/>
          <w:sz w:val="24"/>
          <w:szCs w:val="24"/>
        </w:rPr>
        <w:t>ersonave</w:t>
      </w:r>
      <w:r w:rsidR="009E1169" w:rsidRPr="006B700E">
        <w:rPr>
          <w:b/>
          <w:bCs/>
          <w:sz w:val="24"/>
          <w:szCs w:val="24"/>
        </w:rPr>
        <w:t xml:space="preserve"> LGBTQI+:</w:t>
      </w:r>
      <w:r w:rsidR="009E1169" w:rsidRPr="006B700E">
        <w:rPr>
          <w:sz w:val="24"/>
          <w:szCs w:val="24"/>
        </w:rPr>
        <w:t xml:space="preserve"> </w:t>
      </w:r>
      <w:r w:rsidRPr="006B700E">
        <w:rPr>
          <w:sz w:val="24"/>
          <w:szCs w:val="24"/>
        </w:rPr>
        <w:t>OJQ-ja e shërbimeve rezidenciale “</w:t>
      </w:r>
      <w:r w:rsidR="009E1169" w:rsidRPr="006B700E">
        <w:rPr>
          <w:sz w:val="24"/>
          <w:szCs w:val="24"/>
        </w:rPr>
        <w:t>Streha</w:t>
      </w:r>
      <w:r w:rsidRPr="006B700E">
        <w:rPr>
          <w:sz w:val="24"/>
          <w:szCs w:val="24"/>
        </w:rPr>
        <w:t xml:space="preserve">” raportoi se individët </w:t>
      </w:r>
      <w:r w:rsidR="009E1169" w:rsidRPr="006B700E">
        <w:rPr>
          <w:sz w:val="24"/>
          <w:szCs w:val="24"/>
        </w:rPr>
        <w:t xml:space="preserve">LGBTQI+ </w:t>
      </w:r>
      <w:r w:rsidRPr="006B700E">
        <w:rPr>
          <w:sz w:val="24"/>
          <w:szCs w:val="24"/>
        </w:rPr>
        <w:t>nuk e raportonin në mënyrë reale dhunën e shënjestruar qoftë në polici apo te komisioneri për mbrojtjen nga diskriminimi nga frika se mos identifikoheshin, nga mungesa e besimit tek institucionet dhe nga frika për sigurinë e tyre. “</w:t>
      </w:r>
      <w:r w:rsidR="009E1169" w:rsidRPr="006B700E">
        <w:rPr>
          <w:sz w:val="24"/>
          <w:szCs w:val="24"/>
        </w:rPr>
        <w:t>Streha</w:t>
      </w:r>
      <w:r w:rsidRPr="006B700E">
        <w:rPr>
          <w:sz w:val="24"/>
          <w:szCs w:val="24"/>
        </w:rPr>
        <w:t xml:space="preserve">” </w:t>
      </w:r>
      <w:r w:rsidR="004A28AB" w:rsidRPr="006B700E">
        <w:rPr>
          <w:sz w:val="24"/>
          <w:szCs w:val="24"/>
        </w:rPr>
        <w:t xml:space="preserve">raportoi se punonjës të qeverisë vendore </w:t>
      </w:r>
      <w:r w:rsidR="009E1169" w:rsidRPr="006B700E">
        <w:rPr>
          <w:sz w:val="24"/>
          <w:szCs w:val="24"/>
        </w:rPr>
        <w:t xml:space="preserve">– </w:t>
      </w:r>
      <w:r w:rsidR="004A28AB" w:rsidRPr="006B700E">
        <w:rPr>
          <w:sz w:val="24"/>
          <w:szCs w:val="24"/>
        </w:rPr>
        <w:t xml:space="preserve">si për shembull punonjësit socialë, psikologët e shkollave dhe punonjës policie të dhunës në familje </w:t>
      </w:r>
      <w:r w:rsidR="009E1169" w:rsidRPr="006B700E">
        <w:rPr>
          <w:sz w:val="24"/>
          <w:szCs w:val="24"/>
        </w:rPr>
        <w:t xml:space="preserve">– </w:t>
      </w:r>
      <w:r w:rsidR="004A28AB" w:rsidRPr="006B700E">
        <w:rPr>
          <w:sz w:val="24"/>
          <w:szCs w:val="24"/>
        </w:rPr>
        <w:t xml:space="preserve">nuk kishin njohuritë dhe aftësitë e duhura për t’i shërbyer komunitetit </w:t>
      </w:r>
      <w:r w:rsidR="009E1169" w:rsidRPr="006B700E">
        <w:rPr>
          <w:sz w:val="24"/>
          <w:szCs w:val="24"/>
        </w:rPr>
        <w:t>LGBTQI+,</w:t>
      </w:r>
      <w:r w:rsidR="004A28AB" w:rsidRPr="006B700E">
        <w:rPr>
          <w:sz w:val="24"/>
          <w:szCs w:val="24"/>
        </w:rPr>
        <w:t xml:space="preserve"> veçanërisht në zonat rurale jashtë </w:t>
      </w:r>
      <w:r w:rsidR="009E1169" w:rsidRPr="006B700E">
        <w:rPr>
          <w:sz w:val="24"/>
          <w:szCs w:val="24"/>
        </w:rPr>
        <w:t>Tiran</w:t>
      </w:r>
      <w:r w:rsidR="004A28AB" w:rsidRPr="006B700E">
        <w:rPr>
          <w:sz w:val="24"/>
          <w:szCs w:val="24"/>
        </w:rPr>
        <w:t>ës</w:t>
      </w:r>
      <w:r w:rsidR="009E1169" w:rsidRPr="006B700E">
        <w:rPr>
          <w:sz w:val="24"/>
          <w:szCs w:val="24"/>
        </w:rPr>
        <w:t>.</w:t>
      </w:r>
    </w:p>
    <w:p w14:paraId="5956AC5B" w14:textId="49FFF7D0" w:rsidR="009E1169" w:rsidRPr="006B700E" w:rsidRDefault="007A5AB8" w:rsidP="009E1169">
      <w:pPr>
        <w:rPr>
          <w:sz w:val="24"/>
          <w:szCs w:val="24"/>
        </w:rPr>
      </w:pPr>
      <w:r w:rsidRPr="006B700E">
        <w:rPr>
          <w:sz w:val="24"/>
          <w:szCs w:val="24"/>
        </w:rPr>
        <w:t xml:space="preserve">Raportet treguan se personat </w:t>
      </w:r>
      <w:r w:rsidR="009E1169" w:rsidRPr="006B700E">
        <w:rPr>
          <w:sz w:val="24"/>
          <w:szCs w:val="24"/>
        </w:rPr>
        <w:t xml:space="preserve">LGBTQI+ </w:t>
      </w:r>
      <w:r w:rsidRPr="006B700E">
        <w:rPr>
          <w:sz w:val="24"/>
          <w:szCs w:val="24"/>
        </w:rPr>
        <w:t xml:space="preserve">vazhduan të kërkonin azil në vende të BE-së. </w:t>
      </w:r>
    </w:p>
    <w:p w14:paraId="6D1F0F99" w14:textId="5E920B85" w:rsidR="009E1169" w:rsidRPr="006B700E" w:rsidRDefault="003A67DA" w:rsidP="003A67DA">
      <w:pPr>
        <w:rPr>
          <w:sz w:val="24"/>
          <w:szCs w:val="24"/>
        </w:rPr>
      </w:pPr>
      <w:r w:rsidRPr="006B700E">
        <w:rPr>
          <w:b/>
          <w:bCs/>
          <w:sz w:val="24"/>
          <w:szCs w:val="24"/>
        </w:rPr>
        <w:t xml:space="preserve">Diskriminimi: </w:t>
      </w:r>
      <w:r w:rsidR="00036585" w:rsidRPr="006B700E">
        <w:rPr>
          <w:sz w:val="24"/>
          <w:szCs w:val="24"/>
        </w:rPr>
        <w:t xml:space="preserve">Ligji ndalon diskriminimin e bazuar në orientimin seksual, përfshirë edhe në punësim. </w:t>
      </w:r>
      <w:r w:rsidRPr="006B700E">
        <w:rPr>
          <w:sz w:val="24"/>
          <w:szCs w:val="24"/>
        </w:rPr>
        <w:t xml:space="preserve">Ligji nuk i njeh bashkimet civile ose martesat brenda së njëjtës gjini, as gjendja civile nuk njeh prindërimin e personave të të njëjtit seks. Orientimi seksual dhe identiteti gjinor janë mes klasave të mbrojtura nga ligji i krimit të urrejtjes në vend. Zbatimi i ligjit në përgjithësi ishte i ulët. Në nëntor të vitit 2021 u miratua </w:t>
      </w:r>
      <w:r w:rsidRPr="006B700E">
        <w:rPr>
          <w:i/>
          <w:iCs/>
          <w:sz w:val="24"/>
          <w:szCs w:val="24"/>
        </w:rPr>
        <w:t xml:space="preserve">Plani Kombëtar i Veprimit për </w:t>
      </w:r>
      <w:r w:rsidR="009E1169" w:rsidRPr="006B700E">
        <w:rPr>
          <w:i/>
          <w:iCs/>
          <w:sz w:val="24"/>
          <w:szCs w:val="24"/>
        </w:rPr>
        <w:t>LGBTQI+</w:t>
      </w:r>
      <w:r w:rsidR="009E1169" w:rsidRPr="006B700E">
        <w:rPr>
          <w:sz w:val="24"/>
          <w:szCs w:val="24"/>
        </w:rPr>
        <w:t xml:space="preserve"> </w:t>
      </w:r>
      <w:r w:rsidRPr="006B700E">
        <w:rPr>
          <w:sz w:val="24"/>
          <w:szCs w:val="24"/>
        </w:rPr>
        <w:t xml:space="preserve">për periudhën </w:t>
      </w:r>
      <w:r w:rsidR="009E1169" w:rsidRPr="006B700E">
        <w:rPr>
          <w:sz w:val="24"/>
          <w:szCs w:val="24"/>
        </w:rPr>
        <w:t>2021-27</w:t>
      </w:r>
      <w:r w:rsidRPr="006B700E">
        <w:rPr>
          <w:sz w:val="24"/>
          <w:szCs w:val="24"/>
        </w:rPr>
        <w:t xml:space="preserve">. </w:t>
      </w:r>
      <w:r w:rsidR="00B71914" w:rsidRPr="006B700E">
        <w:rPr>
          <w:sz w:val="24"/>
          <w:szCs w:val="24"/>
        </w:rPr>
        <w:t xml:space="preserve">Deri në muajin gusht, komisioneri për mbrojtjen nga diskriminimi kishte marrë tri raste me gjuhë urrejtjeje ndaj komunitetit </w:t>
      </w:r>
      <w:r w:rsidR="009E1169" w:rsidRPr="006B700E">
        <w:rPr>
          <w:sz w:val="24"/>
          <w:szCs w:val="24"/>
        </w:rPr>
        <w:t>LGBTQI+</w:t>
      </w:r>
      <w:r w:rsidR="00B71914" w:rsidRPr="006B700E">
        <w:rPr>
          <w:sz w:val="24"/>
          <w:szCs w:val="24"/>
        </w:rPr>
        <w:t xml:space="preserve">. Në njërin rast, komisioneri vendosi kundër autorit ndërsa dy rastet e tjera u pushuan. </w:t>
      </w:r>
    </w:p>
    <w:p w14:paraId="5BA65A0A" w14:textId="617AFE00" w:rsidR="009E1169" w:rsidRPr="006B700E" w:rsidRDefault="00133CB9" w:rsidP="00744B8E">
      <w:pPr>
        <w:rPr>
          <w:color w:val="222222"/>
          <w:sz w:val="24"/>
          <w:szCs w:val="24"/>
        </w:rPr>
      </w:pPr>
      <w:r w:rsidRPr="006B700E">
        <w:rPr>
          <w:sz w:val="24"/>
          <w:szCs w:val="24"/>
        </w:rPr>
        <w:t>OJQ-ja me shërbim rezidencial “</w:t>
      </w:r>
      <w:r w:rsidR="009E1169" w:rsidRPr="006B700E">
        <w:rPr>
          <w:sz w:val="24"/>
          <w:szCs w:val="24"/>
        </w:rPr>
        <w:t>Streha</w:t>
      </w:r>
      <w:r w:rsidRPr="006B700E">
        <w:rPr>
          <w:sz w:val="24"/>
          <w:szCs w:val="24"/>
        </w:rPr>
        <w:t xml:space="preserve">” tha se diskriminimi shoqëror kundër komunitetit </w:t>
      </w:r>
      <w:r w:rsidR="009E1169" w:rsidRPr="006B700E">
        <w:rPr>
          <w:sz w:val="24"/>
          <w:szCs w:val="24"/>
        </w:rPr>
        <w:t xml:space="preserve">LGBTQI+ </w:t>
      </w:r>
      <w:r w:rsidRPr="006B700E">
        <w:rPr>
          <w:sz w:val="24"/>
          <w:szCs w:val="24"/>
        </w:rPr>
        <w:t xml:space="preserve">ishte i zakonshëm. </w:t>
      </w:r>
      <w:r w:rsidR="00744B8E" w:rsidRPr="006B700E">
        <w:rPr>
          <w:sz w:val="24"/>
          <w:szCs w:val="24"/>
        </w:rPr>
        <w:t>Megjithatë, rastet e diskriminimit nuk raportoheshin realisht në Policinë e Shtetit ose te komisioneri për mbrojtjen nga diskriminimi. Deri në muajin nënt</w:t>
      </w:r>
      <w:r w:rsidR="007D3CB6" w:rsidRPr="006B700E">
        <w:rPr>
          <w:sz w:val="24"/>
          <w:szCs w:val="24"/>
        </w:rPr>
        <w:t>o</w:t>
      </w:r>
      <w:r w:rsidR="00744B8E" w:rsidRPr="006B700E">
        <w:rPr>
          <w:sz w:val="24"/>
          <w:szCs w:val="24"/>
        </w:rPr>
        <w:t xml:space="preserve">r, “Streha” ofroi strehim për </w:t>
      </w:r>
      <w:r w:rsidR="009E1169" w:rsidRPr="006B700E">
        <w:rPr>
          <w:sz w:val="24"/>
          <w:szCs w:val="24"/>
        </w:rPr>
        <w:t>65</w:t>
      </w:r>
      <w:r w:rsidR="00744B8E" w:rsidRPr="006B700E">
        <w:rPr>
          <w:sz w:val="24"/>
          <w:szCs w:val="24"/>
        </w:rPr>
        <w:t xml:space="preserve"> të rinj</w:t>
      </w:r>
      <w:r w:rsidR="009E1169" w:rsidRPr="006B700E">
        <w:rPr>
          <w:sz w:val="24"/>
          <w:szCs w:val="24"/>
        </w:rPr>
        <w:t xml:space="preserve"> </w:t>
      </w:r>
      <w:r w:rsidR="00744B8E" w:rsidRPr="006B700E">
        <w:rPr>
          <w:sz w:val="24"/>
          <w:szCs w:val="24"/>
        </w:rPr>
        <w:t xml:space="preserve">të komunitetit </w:t>
      </w:r>
      <w:r w:rsidR="009E1169" w:rsidRPr="006B700E">
        <w:rPr>
          <w:sz w:val="24"/>
          <w:szCs w:val="24"/>
        </w:rPr>
        <w:t xml:space="preserve">LGBTQI+ </w:t>
      </w:r>
      <w:r w:rsidR="00744B8E" w:rsidRPr="006B700E">
        <w:rPr>
          <w:sz w:val="24"/>
          <w:szCs w:val="24"/>
        </w:rPr>
        <w:t xml:space="preserve">që përballeshin me dhunë fizike dhe psikologjike ose me presion familjar. Ministria e Shëndetësisë shtoi mbështetjen për strehën duke financuar kostot </w:t>
      </w:r>
      <w:r w:rsidR="007D3CB6" w:rsidRPr="006B700E">
        <w:rPr>
          <w:sz w:val="24"/>
          <w:szCs w:val="24"/>
        </w:rPr>
        <w:t xml:space="preserve">e </w:t>
      </w:r>
      <w:r w:rsidR="00744B8E" w:rsidRPr="006B700E">
        <w:rPr>
          <w:sz w:val="24"/>
          <w:szCs w:val="24"/>
        </w:rPr>
        <w:t xml:space="preserve">pagave të stafit të strehës. Donatorët mbuluan kosto të tjera të strehës, përfshirë ushqimin, mjekimet dhe qiranë e strehës. </w:t>
      </w:r>
    </w:p>
    <w:p w14:paraId="43FDBBD1" w14:textId="04211009" w:rsidR="00E730BE" w:rsidRPr="006B700E" w:rsidRDefault="007B5E4C" w:rsidP="009E1169">
      <w:pPr>
        <w:rPr>
          <w:color w:val="000000" w:themeColor="text1"/>
          <w:sz w:val="24"/>
          <w:szCs w:val="24"/>
        </w:rPr>
      </w:pPr>
      <w:r w:rsidRPr="006B700E">
        <w:rPr>
          <w:b/>
          <w:bCs/>
          <w:color w:val="000000" w:themeColor="text1"/>
          <w:sz w:val="24"/>
          <w:szCs w:val="24"/>
        </w:rPr>
        <w:t>Mundësia për n</w:t>
      </w:r>
      <w:r w:rsidR="00F35E88" w:rsidRPr="006B700E">
        <w:rPr>
          <w:b/>
          <w:bCs/>
          <w:color w:val="000000" w:themeColor="text1"/>
          <w:sz w:val="24"/>
          <w:szCs w:val="24"/>
        </w:rPr>
        <w:t>johje</w:t>
      </w:r>
      <w:r w:rsidRPr="006B700E">
        <w:rPr>
          <w:b/>
          <w:bCs/>
          <w:color w:val="000000" w:themeColor="text1"/>
          <w:sz w:val="24"/>
          <w:szCs w:val="24"/>
        </w:rPr>
        <w:t>n</w:t>
      </w:r>
      <w:r w:rsidR="00F35E88" w:rsidRPr="006B700E">
        <w:rPr>
          <w:b/>
          <w:bCs/>
          <w:color w:val="000000" w:themeColor="text1"/>
          <w:sz w:val="24"/>
          <w:szCs w:val="24"/>
        </w:rPr>
        <w:t xml:space="preserve"> </w:t>
      </w:r>
      <w:r w:rsidRPr="006B700E">
        <w:rPr>
          <w:b/>
          <w:bCs/>
          <w:color w:val="000000" w:themeColor="text1"/>
          <w:sz w:val="24"/>
          <w:szCs w:val="24"/>
        </w:rPr>
        <w:t>l</w:t>
      </w:r>
      <w:r w:rsidR="00F35E88" w:rsidRPr="006B700E">
        <w:rPr>
          <w:b/>
          <w:bCs/>
          <w:color w:val="000000" w:themeColor="text1"/>
          <w:sz w:val="24"/>
          <w:szCs w:val="24"/>
        </w:rPr>
        <w:t>igj</w:t>
      </w:r>
      <w:r w:rsidR="00E730BE" w:rsidRPr="006B700E">
        <w:rPr>
          <w:b/>
          <w:bCs/>
          <w:color w:val="000000" w:themeColor="text1"/>
          <w:sz w:val="24"/>
          <w:szCs w:val="24"/>
        </w:rPr>
        <w:t>ore</w:t>
      </w:r>
      <w:r w:rsidR="00F35E88" w:rsidRPr="006B700E">
        <w:rPr>
          <w:b/>
          <w:bCs/>
          <w:color w:val="000000" w:themeColor="text1"/>
          <w:sz w:val="24"/>
          <w:szCs w:val="24"/>
        </w:rPr>
        <w:t xml:space="preserve"> të </w:t>
      </w:r>
      <w:r w:rsidRPr="006B700E">
        <w:rPr>
          <w:b/>
          <w:bCs/>
          <w:color w:val="000000" w:themeColor="text1"/>
          <w:sz w:val="24"/>
          <w:szCs w:val="24"/>
        </w:rPr>
        <w:t>g</w:t>
      </w:r>
      <w:r w:rsidR="00F35E88" w:rsidRPr="006B700E">
        <w:rPr>
          <w:b/>
          <w:bCs/>
          <w:color w:val="000000" w:themeColor="text1"/>
          <w:sz w:val="24"/>
          <w:szCs w:val="24"/>
        </w:rPr>
        <w:t>jinisë</w:t>
      </w:r>
      <w:r w:rsidR="009E1169" w:rsidRPr="006B700E">
        <w:rPr>
          <w:b/>
          <w:bCs/>
          <w:color w:val="000000" w:themeColor="text1"/>
          <w:sz w:val="24"/>
          <w:szCs w:val="24"/>
        </w:rPr>
        <w:t>:</w:t>
      </w:r>
      <w:r w:rsidR="009E1169" w:rsidRPr="006B700E">
        <w:rPr>
          <w:color w:val="000000" w:themeColor="text1"/>
          <w:sz w:val="24"/>
          <w:szCs w:val="24"/>
        </w:rPr>
        <w:t xml:space="preserve"> </w:t>
      </w:r>
      <w:r w:rsidR="00E730BE" w:rsidRPr="006B700E">
        <w:rPr>
          <w:color w:val="000000" w:themeColor="text1"/>
          <w:sz w:val="24"/>
          <w:szCs w:val="24"/>
        </w:rPr>
        <w:t xml:space="preserve">Ligji nuk parashikon e as nuk rregullon pasojat që mund të lindin nga njohja ligjore e gjinisë. </w:t>
      </w:r>
      <w:r w:rsidR="007251E2" w:rsidRPr="006B700E">
        <w:rPr>
          <w:color w:val="000000" w:themeColor="text1"/>
          <w:sz w:val="24"/>
          <w:szCs w:val="24"/>
        </w:rPr>
        <w:t xml:space="preserve">Megjithëse ligji kundër diskriminimit rregullon mosdiskriminimin në lidhje me identitetin ligjor, orientimin seksual dhe karakteristikat seksuale, ai nuk garanton të drejtën e individit për të vetëpërcaktuar gjininë. </w:t>
      </w:r>
    </w:p>
    <w:p w14:paraId="11ED6180" w14:textId="23382663" w:rsidR="007B5E4C" w:rsidRPr="006B700E" w:rsidRDefault="007B5E4C" w:rsidP="009E1169">
      <w:pPr>
        <w:rPr>
          <w:sz w:val="24"/>
          <w:szCs w:val="24"/>
        </w:rPr>
      </w:pPr>
      <w:r w:rsidRPr="006B700E">
        <w:rPr>
          <w:b/>
          <w:bCs/>
          <w:sz w:val="24"/>
          <w:szCs w:val="24"/>
        </w:rPr>
        <w:t xml:space="preserve">Praktika të pavullnetshme ose të detyrueshme mjekësore ose psikologjike specifikisht për </w:t>
      </w:r>
      <w:r w:rsidRPr="006B700E">
        <w:rPr>
          <w:b/>
          <w:bCs/>
          <w:sz w:val="24"/>
          <w:szCs w:val="24"/>
        </w:rPr>
        <w:lastRenderedPageBreak/>
        <w:t xml:space="preserve">individët e komunitetit </w:t>
      </w:r>
      <w:r w:rsidR="009E1169" w:rsidRPr="006B700E">
        <w:rPr>
          <w:b/>
          <w:bCs/>
          <w:sz w:val="24"/>
          <w:szCs w:val="24"/>
        </w:rPr>
        <w:t>LGBTQI+:</w:t>
      </w:r>
      <w:r w:rsidR="009E1169" w:rsidRPr="006B700E">
        <w:rPr>
          <w:sz w:val="24"/>
          <w:szCs w:val="24"/>
        </w:rPr>
        <w:t xml:space="preserve"> </w:t>
      </w:r>
      <w:r w:rsidRPr="006B700E">
        <w:rPr>
          <w:sz w:val="24"/>
          <w:szCs w:val="24"/>
        </w:rPr>
        <w:t xml:space="preserve">Më </w:t>
      </w:r>
      <w:r w:rsidR="009E1169" w:rsidRPr="006B700E">
        <w:rPr>
          <w:sz w:val="24"/>
          <w:szCs w:val="24"/>
        </w:rPr>
        <w:t>15</w:t>
      </w:r>
      <w:r w:rsidRPr="006B700E">
        <w:rPr>
          <w:sz w:val="24"/>
          <w:szCs w:val="24"/>
        </w:rPr>
        <w:t xml:space="preserve"> maj</w:t>
      </w:r>
      <w:r w:rsidR="009E1169" w:rsidRPr="006B700E">
        <w:rPr>
          <w:sz w:val="24"/>
          <w:szCs w:val="24"/>
        </w:rPr>
        <w:t xml:space="preserve"> 2020, </w:t>
      </w:r>
      <w:r w:rsidRPr="006B700E">
        <w:rPr>
          <w:sz w:val="24"/>
          <w:szCs w:val="24"/>
        </w:rPr>
        <w:t xml:space="preserve">Urdhri i Psikologëve të Shqipërisë nxori një deklaratë që ndalonte psikologët e licencuar të kryenin atë që quhet terapi konvertimi dhe vërejti se kjo praktikë shkelte të drejtat, liritë dhe integritetin e çdo individi. </w:t>
      </w:r>
    </w:p>
    <w:p w14:paraId="13275F2C" w14:textId="292A5B6F" w:rsidR="009E1169" w:rsidRPr="006B700E" w:rsidRDefault="00BF2C82" w:rsidP="00A05F09">
      <w:pPr>
        <w:rPr>
          <w:sz w:val="24"/>
          <w:szCs w:val="24"/>
        </w:rPr>
      </w:pPr>
      <w:r w:rsidRPr="006B700E">
        <w:rPr>
          <w:b/>
          <w:bCs/>
          <w:sz w:val="24"/>
          <w:szCs w:val="24"/>
        </w:rPr>
        <w:t>Kufizimi i lirisë së shprehjes, grupimit në shoqata apo grumbullimit paqësor:</w:t>
      </w:r>
      <w:r w:rsidR="009E1169" w:rsidRPr="006B700E">
        <w:rPr>
          <w:sz w:val="24"/>
          <w:szCs w:val="24"/>
        </w:rPr>
        <w:t xml:space="preserve"> </w:t>
      </w:r>
      <w:r w:rsidRPr="006B700E">
        <w:rPr>
          <w:sz w:val="24"/>
          <w:szCs w:val="24"/>
        </w:rPr>
        <w:t xml:space="preserve">Nuk pati kufizime të raportuara në lirinë e shprehjes, grupimit në shoqata apo grumbullimit paqësor. Gjatë vitit, “Streha” organizoi </w:t>
      </w:r>
      <w:r w:rsidR="00A05F09" w:rsidRPr="006B700E">
        <w:rPr>
          <w:sz w:val="24"/>
          <w:szCs w:val="24"/>
        </w:rPr>
        <w:t>Galanë e gjashtë Vjetore të Bamirësisë, aktivitet për mbledhje fondesh, e cila për herë të parë pati pjesëmarrjen e zyrtarëve të qeverisë përfshirë Ministrin e Brendshëm, Ministrin e Shtetit për Standardet dhe Shërbimet dhe kryebashkiakun e Tiranës. U organizua</w:t>
      </w:r>
      <w:r w:rsidR="007D3CB6" w:rsidRPr="006B700E">
        <w:rPr>
          <w:sz w:val="24"/>
          <w:szCs w:val="24"/>
        </w:rPr>
        <w:t>n</w:t>
      </w:r>
      <w:r w:rsidR="00A05F09" w:rsidRPr="006B700E">
        <w:rPr>
          <w:sz w:val="24"/>
          <w:szCs w:val="24"/>
        </w:rPr>
        <w:t xml:space="preserve"> disa aktivitete gjatë Ditës Ndërkombëtare kundër Homofobisë, Bifobisë dhe Transfobisë </w:t>
      </w:r>
      <w:r w:rsidR="009E1169" w:rsidRPr="006B700E">
        <w:rPr>
          <w:sz w:val="24"/>
          <w:szCs w:val="24"/>
        </w:rPr>
        <w:t xml:space="preserve">(IDAHOBIT) </w:t>
      </w:r>
      <w:r w:rsidR="00A05F09" w:rsidRPr="006B700E">
        <w:rPr>
          <w:sz w:val="24"/>
          <w:szCs w:val="24"/>
        </w:rPr>
        <w:t xml:space="preserve">ku të gjitha organizatat </w:t>
      </w:r>
      <w:r w:rsidR="009E1169" w:rsidRPr="006B700E">
        <w:rPr>
          <w:sz w:val="24"/>
          <w:szCs w:val="24"/>
        </w:rPr>
        <w:t xml:space="preserve">LGBTQI+ </w:t>
      </w:r>
      <w:r w:rsidR="00A05F09" w:rsidRPr="006B700E">
        <w:rPr>
          <w:sz w:val="24"/>
          <w:szCs w:val="24"/>
        </w:rPr>
        <w:t xml:space="preserve">u bashkuan në bashkërendim për herë të parë në disa vite. Marshimi vjetor i Krenarisë pati pjesëmarrje rekord, që kaloi </w:t>
      </w:r>
      <w:r w:rsidR="009E1169" w:rsidRPr="006B700E">
        <w:rPr>
          <w:sz w:val="24"/>
          <w:szCs w:val="24"/>
        </w:rPr>
        <w:t>200</w:t>
      </w:r>
      <w:r w:rsidR="00A05F09" w:rsidRPr="006B700E">
        <w:rPr>
          <w:sz w:val="24"/>
          <w:szCs w:val="24"/>
        </w:rPr>
        <w:t>-ën</w:t>
      </w:r>
      <w:r w:rsidR="009E1169" w:rsidRPr="006B700E">
        <w:rPr>
          <w:sz w:val="24"/>
          <w:szCs w:val="24"/>
        </w:rPr>
        <w:t xml:space="preserve">. </w:t>
      </w:r>
      <w:r w:rsidR="00A05F09" w:rsidRPr="006B700E">
        <w:rPr>
          <w:sz w:val="24"/>
          <w:szCs w:val="24"/>
        </w:rPr>
        <w:t>Avokati i Popullit dhe komisionieri për mbrojtjen nga diskriminimi mor</w:t>
      </w:r>
      <w:r w:rsidR="007D3CB6" w:rsidRPr="006B700E">
        <w:rPr>
          <w:sz w:val="24"/>
          <w:szCs w:val="24"/>
        </w:rPr>
        <w:t>ën</w:t>
      </w:r>
      <w:r w:rsidR="00A05F09" w:rsidRPr="006B700E">
        <w:rPr>
          <w:sz w:val="24"/>
          <w:szCs w:val="24"/>
        </w:rPr>
        <w:t xml:space="preserve"> pjesë </w:t>
      </w:r>
      <w:r w:rsidR="007D3CB6" w:rsidRPr="006B700E">
        <w:rPr>
          <w:sz w:val="24"/>
          <w:szCs w:val="24"/>
        </w:rPr>
        <w:t>por</w:t>
      </w:r>
      <w:r w:rsidR="00A05F09" w:rsidRPr="006B700E">
        <w:rPr>
          <w:sz w:val="24"/>
          <w:szCs w:val="24"/>
        </w:rPr>
        <w:t xml:space="preserve"> nuk pati zyrtarë të qeverisë. Të gjitha aktivitetet ishin paqësore. </w:t>
      </w:r>
    </w:p>
    <w:p w14:paraId="687ACADD" w14:textId="68F57863" w:rsidR="009E1169" w:rsidRPr="006B700E" w:rsidRDefault="009E1169" w:rsidP="009E1169">
      <w:pPr>
        <w:pStyle w:val="Heading3"/>
        <w:rPr>
          <w:sz w:val="24"/>
          <w:szCs w:val="24"/>
        </w:rPr>
      </w:pPr>
      <w:r w:rsidRPr="006B700E">
        <w:rPr>
          <w:sz w:val="24"/>
          <w:szCs w:val="24"/>
        </w:rPr>
        <w:t>Person</w:t>
      </w:r>
      <w:r w:rsidR="00A05F09" w:rsidRPr="006B700E">
        <w:rPr>
          <w:sz w:val="24"/>
          <w:szCs w:val="24"/>
        </w:rPr>
        <w:t xml:space="preserve">at me aftësi të kufizuara </w:t>
      </w:r>
    </w:p>
    <w:p w14:paraId="7D4C4925" w14:textId="21024A72" w:rsidR="000E5E25" w:rsidRPr="006B700E" w:rsidRDefault="000E5E25" w:rsidP="000E5E25">
      <w:pPr>
        <w:jc w:val="both"/>
        <w:rPr>
          <w:sz w:val="24"/>
          <w:szCs w:val="24"/>
        </w:rPr>
      </w:pPr>
      <w:r w:rsidRPr="006B700E">
        <w:rPr>
          <w:sz w:val="24"/>
          <w:szCs w:val="24"/>
        </w:rPr>
        <w:t>Kushtetuta dhe ligjet e vendit ndalojnë diskriminimin e personave me aftësi të kufizuara fizike, nd</w:t>
      </w:r>
      <w:r w:rsidR="007D3CB6" w:rsidRPr="006B700E">
        <w:rPr>
          <w:sz w:val="24"/>
          <w:szCs w:val="24"/>
        </w:rPr>
        <w:t>ijore</w:t>
      </w:r>
      <w:r w:rsidRPr="006B700E">
        <w:rPr>
          <w:sz w:val="24"/>
          <w:szCs w:val="24"/>
        </w:rPr>
        <w:t xml:space="preserve">, intelektuale dhe mendore. Megjithatë, punëdhënësit, shkollat, ofruesit e shërbimit shëndetësor dhe ofruesit e shërbimeve të tjera shtetërore herë pas here u përfshinë në diskriminim. Ligji urdhëron që ndërtesat publike, shërbimet e arsimit, shëndetit dhe transporti të ofrojnë mundësi të arritshme për personat me aftësi të kufizuara, mbi baza barazie, por qeveria e zbatoi ligjin vetëm në mënyrë sporadike. Qeveria nisi zbatimin e </w:t>
      </w:r>
      <w:r w:rsidRPr="006B700E">
        <w:rPr>
          <w:i/>
          <w:sz w:val="24"/>
          <w:szCs w:val="24"/>
        </w:rPr>
        <w:t xml:space="preserve">Planit Kombëtar të Veprimit për Personat me Aftësi të Kufizuara 2021-2025, </w:t>
      </w:r>
      <w:r w:rsidRPr="006B700E">
        <w:rPr>
          <w:sz w:val="24"/>
          <w:szCs w:val="24"/>
        </w:rPr>
        <w:t xml:space="preserve">ku aksesi është një nga përparësitë kryesore. </w:t>
      </w:r>
    </w:p>
    <w:p w14:paraId="3383EAC6" w14:textId="10679B2C" w:rsidR="009E1169" w:rsidRPr="006B700E" w:rsidRDefault="000E5E25" w:rsidP="000E5E25">
      <w:pPr>
        <w:rPr>
          <w:sz w:val="24"/>
          <w:szCs w:val="24"/>
        </w:rPr>
      </w:pPr>
      <w:r w:rsidRPr="006B700E">
        <w:rPr>
          <w:sz w:val="24"/>
          <w:szCs w:val="24"/>
        </w:rPr>
        <w:t xml:space="preserve">Deri në muajin gusht, komisioneri për mbrojtjen nga diskriminimi kishte marrë </w:t>
      </w:r>
      <w:r w:rsidR="009E1169" w:rsidRPr="006B700E">
        <w:rPr>
          <w:sz w:val="24"/>
          <w:szCs w:val="24"/>
        </w:rPr>
        <w:t xml:space="preserve">44 </w:t>
      </w:r>
      <w:r w:rsidRPr="006B700E">
        <w:rPr>
          <w:sz w:val="24"/>
          <w:szCs w:val="24"/>
        </w:rPr>
        <w:t xml:space="preserve">ankesa për akuza diskriminimi ndaj individëve me aftësi të kufizuara dhe mori vendim në favor të ankimuesve në tetë raste. Më 13 qershor, komisioneri vendosi kundër zyrave vendore të postës në Durrës dhe në </w:t>
      </w:r>
      <w:r w:rsidR="009E1169" w:rsidRPr="006B700E">
        <w:rPr>
          <w:sz w:val="24"/>
          <w:szCs w:val="24"/>
        </w:rPr>
        <w:t xml:space="preserve">Shijak </w:t>
      </w:r>
      <w:r w:rsidRPr="006B700E">
        <w:rPr>
          <w:sz w:val="24"/>
          <w:szCs w:val="24"/>
        </w:rPr>
        <w:t>për mungesë aksesi. Në një rast tjetër, më 26 maj, k</w:t>
      </w:r>
      <w:r w:rsidR="009E1169" w:rsidRPr="006B700E">
        <w:rPr>
          <w:sz w:val="24"/>
          <w:szCs w:val="24"/>
        </w:rPr>
        <w:t>omisioner</w:t>
      </w:r>
      <w:r w:rsidRPr="006B700E">
        <w:rPr>
          <w:sz w:val="24"/>
          <w:szCs w:val="24"/>
        </w:rPr>
        <w:t xml:space="preserve">i vendosi kundër Drejtorisë </w:t>
      </w:r>
      <w:r w:rsidR="00166723" w:rsidRPr="006B700E">
        <w:rPr>
          <w:sz w:val="24"/>
          <w:szCs w:val="24"/>
        </w:rPr>
        <w:t xml:space="preserve">Rajonale të Arsimit Divjakë për diskriminimin ndaj një të riu me aftësi të kufizuara dhe pengimin e aksesit të tij për të ndjekur shkollën. Nuk pati raportime për dhunë, ngacmim apo abuzim fizik ndaj personave me aftësi të kufizuara gjatë vitit. </w:t>
      </w:r>
    </w:p>
    <w:p w14:paraId="66D26A2C" w14:textId="743540AE" w:rsidR="009E1169" w:rsidRPr="006B700E" w:rsidRDefault="0045772D" w:rsidP="009E1169">
      <w:pPr>
        <w:pStyle w:val="Heading3"/>
        <w:rPr>
          <w:sz w:val="24"/>
          <w:szCs w:val="24"/>
        </w:rPr>
      </w:pPr>
      <w:r w:rsidRPr="006B700E">
        <w:rPr>
          <w:sz w:val="24"/>
          <w:szCs w:val="24"/>
        </w:rPr>
        <w:t xml:space="preserve">Forma të tjera dhune dhe diskriminimi social </w:t>
      </w:r>
    </w:p>
    <w:p w14:paraId="313FF553" w14:textId="45F4735E" w:rsidR="009E1169" w:rsidRPr="006B700E" w:rsidRDefault="006A21DE" w:rsidP="00DD52A5">
      <w:pPr>
        <w:rPr>
          <w:sz w:val="24"/>
          <w:szCs w:val="24"/>
        </w:rPr>
      </w:pPr>
      <w:r w:rsidRPr="006B700E">
        <w:rPr>
          <w:sz w:val="24"/>
          <w:szCs w:val="24"/>
        </w:rPr>
        <w:t xml:space="preserve">Ligji ndalon diskriminimin dhe stigmatizimin e personave me </w:t>
      </w:r>
      <w:r w:rsidR="009E1169" w:rsidRPr="006B700E">
        <w:rPr>
          <w:sz w:val="24"/>
          <w:szCs w:val="24"/>
        </w:rPr>
        <w:t>HIV o</w:t>
      </w:r>
      <w:r w:rsidRPr="006B700E">
        <w:rPr>
          <w:sz w:val="24"/>
          <w:szCs w:val="24"/>
        </w:rPr>
        <w:t>se SIDA</w:t>
      </w:r>
      <w:r w:rsidR="009E1169" w:rsidRPr="006B700E">
        <w:rPr>
          <w:sz w:val="24"/>
          <w:szCs w:val="24"/>
        </w:rPr>
        <w:t xml:space="preserve">. </w:t>
      </w:r>
      <w:r w:rsidRPr="006B700E">
        <w:rPr>
          <w:sz w:val="24"/>
          <w:szCs w:val="24"/>
        </w:rPr>
        <w:t xml:space="preserve">Shoqata Shqiptare </w:t>
      </w:r>
      <w:r w:rsidRPr="006B700E">
        <w:rPr>
          <w:sz w:val="24"/>
          <w:szCs w:val="24"/>
        </w:rPr>
        <w:lastRenderedPageBreak/>
        <w:t>e Personave që Jetojnë me HIV/IADS</w:t>
      </w:r>
      <w:r w:rsidR="009E1169" w:rsidRPr="006B700E">
        <w:rPr>
          <w:sz w:val="24"/>
          <w:szCs w:val="24"/>
        </w:rPr>
        <w:t xml:space="preserve"> (APLHIV) </w:t>
      </w:r>
      <w:r w:rsidR="00DD52A5" w:rsidRPr="006B700E">
        <w:rPr>
          <w:sz w:val="24"/>
          <w:szCs w:val="24"/>
        </w:rPr>
        <w:t xml:space="preserve">raportoi se stigma dhe diskriminimi kishin bërë që individët të shmangnin testimin për </w:t>
      </w:r>
      <w:r w:rsidR="009E1169" w:rsidRPr="006B700E">
        <w:rPr>
          <w:sz w:val="24"/>
          <w:szCs w:val="24"/>
        </w:rPr>
        <w:t xml:space="preserve">HIV, </w:t>
      </w:r>
      <w:r w:rsidR="00DD52A5" w:rsidRPr="006B700E">
        <w:rPr>
          <w:sz w:val="24"/>
          <w:szCs w:val="24"/>
        </w:rPr>
        <w:t xml:space="preserve">gjë që çonte në diagnostifikimin me vonesë dhe si pasojë vonesë në shfrytëzimin e kujdesit dhe mbështetjes. </w:t>
      </w:r>
      <w:r w:rsidR="009E1169" w:rsidRPr="006B700E">
        <w:rPr>
          <w:sz w:val="24"/>
          <w:szCs w:val="24"/>
        </w:rPr>
        <w:t>APLHIV</w:t>
      </w:r>
      <w:r w:rsidR="00DD52A5" w:rsidRPr="006B700E">
        <w:rPr>
          <w:sz w:val="24"/>
          <w:szCs w:val="24"/>
        </w:rPr>
        <w:t xml:space="preserve">-i raportoi vonesa në shërbim dhe probleme të tjera pasi Klinika e Sëmundjeve Infektive u kthye në spital reagimi ndaj </w:t>
      </w:r>
      <w:r w:rsidR="009E1169" w:rsidRPr="006B700E">
        <w:rPr>
          <w:sz w:val="24"/>
          <w:szCs w:val="24"/>
        </w:rPr>
        <w:t>COVID-</w:t>
      </w:r>
      <w:r w:rsidR="00DD52A5" w:rsidRPr="006B700E">
        <w:rPr>
          <w:sz w:val="24"/>
          <w:szCs w:val="24"/>
        </w:rPr>
        <w:t>it</w:t>
      </w:r>
      <w:r w:rsidR="009E1169" w:rsidRPr="006B700E">
        <w:rPr>
          <w:sz w:val="24"/>
          <w:szCs w:val="24"/>
        </w:rPr>
        <w:t>. APLHIV</w:t>
      </w:r>
      <w:r w:rsidR="00DD52A5" w:rsidRPr="006B700E">
        <w:rPr>
          <w:sz w:val="24"/>
          <w:szCs w:val="24"/>
        </w:rPr>
        <w:t xml:space="preserve">-i raportoi se që prej vitit </w:t>
      </w:r>
      <w:r w:rsidR="009E1169" w:rsidRPr="006B700E">
        <w:rPr>
          <w:sz w:val="24"/>
          <w:szCs w:val="24"/>
        </w:rPr>
        <w:t xml:space="preserve">2021, </w:t>
      </w:r>
      <w:r w:rsidR="00DD52A5" w:rsidRPr="006B700E">
        <w:rPr>
          <w:sz w:val="24"/>
          <w:szCs w:val="24"/>
        </w:rPr>
        <w:t xml:space="preserve">testet e përshtatshme për </w:t>
      </w:r>
      <w:r w:rsidR="009E1169" w:rsidRPr="006B700E">
        <w:rPr>
          <w:sz w:val="24"/>
          <w:szCs w:val="24"/>
        </w:rPr>
        <w:t>HIV</w:t>
      </w:r>
      <w:r w:rsidR="00DD52A5" w:rsidRPr="006B700E">
        <w:rPr>
          <w:sz w:val="24"/>
          <w:szCs w:val="24"/>
        </w:rPr>
        <w:t xml:space="preserve"> nuk ishin më të disponueshëm falas në spitalet publike. Personat me </w:t>
      </w:r>
      <w:r w:rsidR="009E1169" w:rsidRPr="006B700E">
        <w:rPr>
          <w:sz w:val="24"/>
          <w:szCs w:val="24"/>
        </w:rPr>
        <w:t>HIV o</w:t>
      </w:r>
      <w:r w:rsidR="00DD52A5" w:rsidRPr="006B700E">
        <w:rPr>
          <w:sz w:val="24"/>
          <w:szCs w:val="24"/>
        </w:rPr>
        <w:t>se</w:t>
      </w:r>
      <w:r w:rsidR="009E1169" w:rsidRPr="006B700E">
        <w:rPr>
          <w:sz w:val="24"/>
          <w:szCs w:val="24"/>
        </w:rPr>
        <w:t xml:space="preserve"> </w:t>
      </w:r>
      <w:r w:rsidR="00DD52A5" w:rsidRPr="006B700E">
        <w:rPr>
          <w:sz w:val="24"/>
          <w:szCs w:val="24"/>
        </w:rPr>
        <w:t xml:space="preserve">SIDA u përballën me diskriminim dhe çështje që lidhen me riintegrimin profesional dhe fëmijët që jetonin me </w:t>
      </w:r>
      <w:r w:rsidR="009E1169" w:rsidRPr="006B700E">
        <w:rPr>
          <w:sz w:val="24"/>
          <w:szCs w:val="24"/>
        </w:rPr>
        <w:t>HIV</w:t>
      </w:r>
      <w:r w:rsidR="00DD52A5" w:rsidRPr="006B700E">
        <w:rPr>
          <w:sz w:val="24"/>
          <w:szCs w:val="24"/>
        </w:rPr>
        <w:t xml:space="preserve"> u përballën me diskriminim në shkollë. </w:t>
      </w:r>
    </w:p>
    <w:p w14:paraId="1E3AE631" w14:textId="77777777" w:rsidR="00CA27C9" w:rsidRPr="006B700E" w:rsidRDefault="00CA27C9" w:rsidP="00CA27C9">
      <w:pPr>
        <w:jc w:val="both"/>
        <w:rPr>
          <w:sz w:val="32"/>
          <w:szCs w:val="32"/>
        </w:rPr>
      </w:pPr>
      <w:r w:rsidRPr="006B700E">
        <w:rPr>
          <w:b/>
          <w:sz w:val="32"/>
          <w:szCs w:val="32"/>
        </w:rPr>
        <w:t xml:space="preserve">Seksioni 7. Të drejtat e punëtorëve </w:t>
      </w:r>
      <w:r w:rsidRPr="006B700E">
        <w:rPr>
          <w:sz w:val="32"/>
          <w:szCs w:val="32"/>
        </w:rPr>
        <w:t xml:space="preserve"> </w:t>
      </w:r>
    </w:p>
    <w:p w14:paraId="549DB67F" w14:textId="77777777" w:rsidR="00CA27C9" w:rsidRPr="006B700E" w:rsidRDefault="00CA27C9" w:rsidP="00CA27C9">
      <w:pPr>
        <w:jc w:val="both"/>
      </w:pPr>
      <w:r w:rsidRPr="006B700E">
        <w:rPr>
          <w:b/>
        </w:rPr>
        <w:t xml:space="preserve">a. Liria e grupimit në shoqata dhe e drejta për marrëveshje kolektive </w:t>
      </w:r>
    </w:p>
    <w:p w14:paraId="0BB44800" w14:textId="79935CC8" w:rsidR="00CA27C9" w:rsidRPr="006B700E" w:rsidRDefault="00C84867" w:rsidP="009E1169">
      <w:pPr>
        <w:rPr>
          <w:sz w:val="24"/>
          <w:szCs w:val="24"/>
        </w:rPr>
      </w:pPr>
      <w:r w:rsidRPr="006B700E">
        <w:rPr>
          <w:sz w:val="24"/>
          <w:szCs w:val="24"/>
        </w:rPr>
        <w:t>Ligji, rregulloret përkatëse dhe statutet parashikojnë të drejtën për shumicën e punëtorëve të formojnë sindikata të pavarura, të kryejnë greva të ligjshme dhe të bëjnë marrëveshje kolektive. Ligji ndalon diskriminimin ndaj sindikatave dhe siguron rikthimin në punë për punëtorët e pushuar për shkak të veprimtarisë në sindikatë.</w:t>
      </w:r>
    </w:p>
    <w:p w14:paraId="3666B6CB" w14:textId="00473221" w:rsidR="00C84867" w:rsidRPr="006B700E" w:rsidRDefault="00C84867" w:rsidP="00C84867">
      <w:pPr>
        <w:spacing w:after="0"/>
        <w:jc w:val="both"/>
        <w:rPr>
          <w:sz w:val="24"/>
          <w:szCs w:val="24"/>
        </w:rPr>
      </w:pPr>
      <w:r w:rsidRPr="006B700E">
        <w:rPr>
          <w:sz w:val="24"/>
          <w:szCs w:val="24"/>
        </w:rPr>
        <w:t xml:space="preserve">Ligji i ndalon anëtarët e ushtrisë dhe zyrtarët e lartë të qeverisë të bëhen pjesë e sindikatave dhe kërkon që një sindikatë të ketë së paku 20 anëtarë që të mund të regjistrohet. Ligji siguron të drejtën për të bërë grevë për të gjithë punonjësit me përjashtim të personelit të domosdoshëm mjekësor dhe spitalor, të personave që ofrojnë shërbime të kontrollit të trafikut ajror ose shërbime të burgjeve, shërbimit të ujësjellësit, shpërndarësit të energjisë elektrike dhe punonjësve të repartit të zjarrfikësve. Veprimtaria e grevës ndalohet në “raste të veçanta”, si për shembull në rast katastrofe natyrore, gjendjeje lufte, situatash të jashtëzakonshme dhe rastesh kur liria e kryerjes së zgjedhjeve dhe marrjes pjesë në to është në rrezik. </w:t>
      </w:r>
    </w:p>
    <w:p w14:paraId="4F4D475D" w14:textId="10CEB0AE" w:rsidR="009E1169" w:rsidRPr="006B700E" w:rsidRDefault="00C84867" w:rsidP="009E1169">
      <w:pPr>
        <w:rPr>
          <w:sz w:val="24"/>
          <w:szCs w:val="24"/>
        </w:rPr>
      </w:pPr>
      <w:r w:rsidRPr="006B700E">
        <w:rPr>
          <w:sz w:val="24"/>
          <w:szCs w:val="24"/>
        </w:rPr>
        <w:t>Ligji garanton mbrojtje të kufizuar për punonjësit e shërbimeve shtëpiake dhe për punonjësit migrantë. Sindikatat në përgjithësi ishin të dobëta dhe të politizuara. Qeveria nuk e zbatoi efektshëm ligjin. Dënimet rrallë u zbatuan dhe nuk ishin në përpjesëtim të drejtë me ato sipas ligjeve të tjera që lidhen me moh</w:t>
      </w:r>
      <w:r w:rsidR="000C224E" w:rsidRPr="006B700E">
        <w:rPr>
          <w:sz w:val="24"/>
          <w:szCs w:val="24"/>
        </w:rPr>
        <w:t>i</w:t>
      </w:r>
      <w:r w:rsidRPr="006B700E">
        <w:rPr>
          <w:sz w:val="24"/>
          <w:szCs w:val="24"/>
        </w:rPr>
        <w:t xml:space="preserve">min e të drejtave civile. Nga </w:t>
      </w:r>
      <w:r w:rsidR="009E1169" w:rsidRPr="006B700E">
        <w:rPr>
          <w:sz w:val="24"/>
          <w:szCs w:val="24"/>
        </w:rPr>
        <w:t xml:space="preserve">93 </w:t>
      </w:r>
      <w:r w:rsidRPr="006B700E">
        <w:rPr>
          <w:sz w:val="24"/>
          <w:szCs w:val="24"/>
        </w:rPr>
        <w:t xml:space="preserve">gjobat e vendosura, </w:t>
      </w:r>
      <w:r w:rsidR="009E1169" w:rsidRPr="006B700E">
        <w:rPr>
          <w:sz w:val="24"/>
          <w:szCs w:val="24"/>
        </w:rPr>
        <w:t xml:space="preserve">24 </w:t>
      </w:r>
      <w:r w:rsidRPr="006B700E">
        <w:rPr>
          <w:sz w:val="24"/>
          <w:szCs w:val="24"/>
        </w:rPr>
        <w:t xml:space="preserve">u apeluan në raste të ndryshme dhe </w:t>
      </w:r>
      <w:r w:rsidR="009E1169" w:rsidRPr="006B700E">
        <w:rPr>
          <w:sz w:val="24"/>
          <w:szCs w:val="24"/>
        </w:rPr>
        <w:t xml:space="preserve">17 </w:t>
      </w:r>
      <w:r w:rsidR="00CB6A1D" w:rsidRPr="006B700E">
        <w:rPr>
          <w:sz w:val="24"/>
          <w:szCs w:val="24"/>
        </w:rPr>
        <w:t xml:space="preserve">u </w:t>
      </w:r>
      <w:r w:rsidR="00CA363D" w:rsidRPr="006B700E">
        <w:rPr>
          <w:sz w:val="24"/>
          <w:szCs w:val="24"/>
        </w:rPr>
        <w:t xml:space="preserve">lanë në fuqi deri në korrik. Procedurat administrative dhe gjyqësore u bënë objekt i vonesave dhe apelimeve të gjata. Procedurat e arbitrazhit lejuan vonesa të konsiderueshme që kufizuan mbrojtjen e punëtorëve ndaj veprimtarisë kundër sindikatave. </w:t>
      </w:r>
      <w:r w:rsidR="009E1169" w:rsidRPr="006B700E">
        <w:rPr>
          <w:sz w:val="24"/>
          <w:szCs w:val="24"/>
        </w:rPr>
        <w:t xml:space="preserve"> </w:t>
      </w:r>
    </w:p>
    <w:p w14:paraId="5FB4C053" w14:textId="77777777" w:rsidR="000C224E" w:rsidRPr="006B700E" w:rsidRDefault="000C224E" w:rsidP="000C224E">
      <w:pPr>
        <w:jc w:val="both"/>
        <w:rPr>
          <w:sz w:val="24"/>
          <w:szCs w:val="24"/>
        </w:rPr>
      </w:pPr>
      <w:r w:rsidRPr="006B700E">
        <w:rPr>
          <w:sz w:val="24"/>
          <w:szCs w:val="24"/>
        </w:rPr>
        <w:lastRenderedPageBreak/>
        <w:t xml:space="preserve">Punonjësit civilë në të gjitha fushat kanë të drejtë kushtetuese të organizohen dhe të bëjnë marrëveshje kolektive dhe ligji përcakton procedurat për mbrojtjen e të drejtave të punonjësve nëpërmjet marrëveshjeve për bisedime kolektive. Sindikatat që përfaqësonin punëmarrësit e sektorit publik bënë marrëveshje drejtpërdrejt me qeverinë. Bisedimet kolektive të efektshme mbetën të vështira sepse punëmarrësit shpesh u bënin rezistence organizimit të sindikatave dhe veprimtarive të tyre. Në këtë mjedis, marrëveshjet e bisedimeve kolektive, edhe kur arriheshin të bëheshin, ishin të vështira për t’u zbatuar.  </w:t>
      </w:r>
    </w:p>
    <w:p w14:paraId="4E610C96" w14:textId="77777777" w:rsidR="00404EBC" w:rsidRPr="006B700E" w:rsidRDefault="00404EBC" w:rsidP="00404EBC">
      <w:pPr>
        <w:jc w:val="both"/>
      </w:pPr>
      <w:r w:rsidRPr="006B700E">
        <w:rPr>
          <w:b/>
        </w:rPr>
        <w:t xml:space="preserve">b. Ndalimi i punës me detyrim </w:t>
      </w:r>
    </w:p>
    <w:p w14:paraId="7C2CA8FC" w14:textId="01A38ECC" w:rsidR="00404EBC" w:rsidRPr="006B700E" w:rsidRDefault="00404EBC" w:rsidP="00404EBC">
      <w:pPr>
        <w:jc w:val="both"/>
        <w:rPr>
          <w:sz w:val="24"/>
          <w:szCs w:val="24"/>
        </w:rPr>
      </w:pPr>
      <w:r w:rsidRPr="006B700E">
        <w:rPr>
          <w:sz w:val="24"/>
          <w:szCs w:val="24"/>
        </w:rPr>
        <w:t xml:space="preserve">Ligji ndalon dhe i konsideron krim të gjitha format e punës me detyrim, por qeveria nuk e zbatoi gjithmonë efektshëm ligjin. Mungesa e bashkërendimit mes ministrive dhe zbatimi sporadik i procedurave standarde të veprimit penguan zbatimin. </w:t>
      </w:r>
    </w:p>
    <w:p w14:paraId="585BCB39" w14:textId="749FD0E9" w:rsidR="00404EBC" w:rsidRPr="006B700E" w:rsidRDefault="00404EBC" w:rsidP="00404EBC">
      <w:pPr>
        <w:jc w:val="both"/>
        <w:rPr>
          <w:sz w:val="24"/>
          <w:szCs w:val="24"/>
        </w:rPr>
      </w:pPr>
      <w:r w:rsidRPr="006B700E">
        <w:rPr>
          <w:sz w:val="24"/>
          <w:szCs w:val="24"/>
        </w:rPr>
        <w:t xml:space="preserve">Inspektorati i Punës nuk raportoi asnjë rast pune të detyruar në sektorin formal gjatë këtij viti. </w:t>
      </w:r>
    </w:p>
    <w:p w14:paraId="5617F27C" w14:textId="6FBE66E5" w:rsidR="00652294" w:rsidRPr="006B700E" w:rsidRDefault="00652294" w:rsidP="009E1169">
      <w:r w:rsidRPr="006B700E">
        <w:rPr>
          <w:b/>
        </w:rPr>
        <w:t>c. Ndalimi i punës së të miturve dhe mosha minimale për punësim</w:t>
      </w:r>
    </w:p>
    <w:p w14:paraId="51F6C9FD" w14:textId="3831AA82" w:rsidR="009E1169" w:rsidRPr="006B700E" w:rsidRDefault="00652294" w:rsidP="009E1169">
      <w:pPr>
        <w:rPr>
          <w:sz w:val="24"/>
          <w:szCs w:val="24"/>
        </w:rPr>
      </w:pPr>
      <w:r w:rsidRPr="006B700E">
        <w:rPr>
          <w:sz w:val="24"/>
          <w:szCs w:val="24"/>
        </w:rPr>
        <w:t xml:space="preserve">Shikoni </w:t>
      </w:r>
      <w:r w:rsidRPr="006B700E">
        <w:rPr>
          <w:i/>
          <w:sz w:val="24"/>
          <w:szCs w:val="24"/>
        </w:rPr>
        <w:t xml:space="preserve">Të Dhënat mbi Format më të Këqija të Punës së të Miturve </w:t>
      </w:r>
      <w:r w:rsidRPr="006B700E">
        <w:rPr>
          <w:sz w:val="24"/>
          <w:szCs w:val="24"/>
        </w:rPr>
        <w:t xml:space="preserve">të Departamentit të Shtetit në faqen: </w:t>
      </w:r>
      <w:hyperlink r:id="rId10">
        <w:r w:rsidR="009E1169" w:rsidRPr="006B700E">
          <w:rPr>
            <w:rStyle w:val="Hyperlink"/>
            <w:sz w:val="24"/>
            <w:szCs w:val="24"/>
          </w:rPr>
          <w:t>https://www.dol.gov/agencies/ilab/resources/reports/child-labor/findings</w:t>
        </w:r>
      </w:hyperlink>
      <w:r w:rsidR="009E1169" w:rsidRPr="006B700E">
        <w:rPr>
          <w:rStyle w:val="Hyperlink"/>
          <w:sz w:val="24"/>
          <w:szCs w:val="24"/>
        </w:rPr>
        <w:t>.</w:t>
      </w:r>
    </w:p>
    <w:p w14:paraId="4DDDC361" w14:textId="77777777" w:rsidR="005A6975" w:rsidRPr="006B700E" w:rsidRDefault="005A6975" w:rsidP="005A6975">
      <w:pPr>
        <w:spacing w:after="0"/>
        <w:jc w:val="both"/>
        <w:rPr>
          <w:b/>
        </w:rPr>
      </w:pPr>
      <w:r w:rsidRPr="006B700E">
        <w:rPr>
          <w:b/>
        </w:rPr>
        <w:t>d. Diskriminimi në lidhje me punësimin dhe zanatin</w:t>
      </w:r>
    </w:p>
    <w:p w14:paraId="4F9D3AF0" w14:textId="6282944C" w:rsidR="005A6975" w:rsidRPr="006B700E" w:rsidRDefault="005A6975" w:rsidP="005A6975">
      <w:pPr>
        <w:jc w:val="both"/>
        <w:rPr>
          <w:sz w:val="24"/>
          <w:szCs w:val="24"/>
        </w:rPr>
      </w:pPr>
      <w:r w:rsidRPr="006B700E">
        <w:rPr>
          <w:sz w:val="24"/>
          <w:szCs w:val="24"/>
        </w:rPr>
        <w:t xml:space="preserve">Ligji e ndalon diskriminimin në punësim për shkak të racës, besimit fetar, origjinës kombëtare, ngjyrës së lëkurës, gjinisë (përfshirë shtatzëninë), etnisë, aftësive të kufizuara fizike ose mendore, moshës, orientimit seksual ose identitetit gjinor, statusit HIV/SIDA, </w:t>
      </w:r>
      <w:r w:rsidR="00615A14" w:rsidRPr="006B700E">
        <w:rPr>
          <w:sz w:val="24"/>
          <w:szCs w:val="24"/>
        </w:rPr>
        <w:t>statusit të refugjatit apo pashtetësisë</w:t>
      </w:r>
      <w:r w:rsidRPr="006B700E">
        <w:rPr>
          <w:sz w:val="24"/>
          <w:szCs w:val="24"/>
        </w:rPr>
        <w:t xml:space="preserve">. Qeveria nuk e zbatoi ligjin </w:t>
      </w:r>
      <w:r w:rsidR="00615A14" w:rsidRPr="006B700E">
        <w:rPr>
          <w:sz w:val="24"/>
          <w:szCs w:val="24"/>
        </w:rPr>
        <w:t xml:space="preserve">në mënyrë të njëtrajtshme </w:t>
      </w:r>
      <w:r w:rsidRPr="006B700E">
        <w:rPr>
          <w:sz w:val="24"/>
          <w:szCs w:val="24"/>
        </w:rPr>
        <w:t xml:space="preserve">dhe ndëshkimet për shkeljet nuk ishin në përpjesëtim të drejtë me ato që jepeshin sipas ligjeve të tjera lidhur me mohimin e të drejtave civile. Komisioneri për Mbrojtjen nga Diskriminimi raportoi se shumica e pretendimeve për diskriminim përfshinin racën, orientimin seksual, gjendjen ekonomike ose aftësinë e kufizuar. </w:t>
      </w:r>
    </w:p>
    <w:p w14:paraId="3C185576" w14:textId="6B3ADB05" w:rsidR="009E1169" w:rsidRPr="006B700E" w:rsidRDefault="008D2697" w:rsidP="009E1169">
      <w:pPr>
        <w:rPr>
          <w:sz w:val="24"/>
          <w:szCs w:val="24"/>
        </w:rPr>
      </w:pPr>
      <w:r w:rsidRPr="006B700E">
        <w:rPr>
          <w:sz w:val="24"/>
          <w:szCs w:val="24"/>
        </w:rPr>
        <w:t xml:space="preserve">Ka ligje që e ndalojnë angazhimin e grave në punë që kërkojnë ngritje peshe më shumë se </w:t>
      </w:r>
      <w:r w:rsidR="004E0884" w:rsidRPr="006B700E">
        <w:rPr>
          <w:sz w:val="24"/>
          <w:szCs w:val="24"/>
        </w:rPr>
        <w:t xml:space="preserve">20 kg. Gjithashtu, disa vendime të qeverisë rregullojnë punën e grave shtatzëna dhe grave që sapo kanë lindur. </w:t>
      </w:r>
    </w:p>
    <w:p w14:paraId="0C93642A" w14:textId="5AA21B0E" w:rsidR="009E1169" w:rsidRPr="006B700E" w:rsidRDefault="00720033" w:rsidP="005D6141">
      <w:pPr>
        <w:rPr>
          <w:sz w:val="24"/>
          <w:szCs w:val="24"/>
        </w:rPr>
      </w:pPr>
      <w:r w:rsidRPr="006B700E">
        <w:rPr>
          <w:sz w:val="24"/>
          <w:szCs w:val="24"/>
        </w:rPr>
        <w:t xml:space="preserve">Gratë nuk ishin të mirëpërfaqësuara në shumë fusha në nivelet e larta. Ligji parashikon pagë të </w:t>
      </w:r>
      <w:r w:rsidRPr="006B700E">
        <w:rPr>
          <w:sz w:val="24"/>
          <w:szCs w:val="24"/>
        </w:rPr>
        <w:lastRenderedPageBreak/>
        <w:t xml:space="preserve">barabartë për punë të barabartë, megjithëse shumë punëdhënës </w:t>
      </w:r>
      <w:r w:rsidR="005D6141" w:rsidRPr="006B700E">
        <w:rPr>
          <w:sz w:val="24"/>
          <w:szCs w:val="24"/>
        </w:rPr>
        <w:t xml:space="preserve">nuk e zbatuan plotësisht këtë dispozitë. Në shumë komunitete gratë përjetuan diskriminim shoqëror bazuar në normat tradicionale shoqërore që i bëjnë gratë të varura nga burrat. </w:t>
      </w:r>
    </w:p>
    <w:p w14:paraId="0D766000" w14:textId="64074E68" w:rsidR="009E1169" w:rsidRPr="006B700E" w:rsidRDefault="005D6141" w:rsidP="005D6141">
      <w:pPr>
        <w:rPr>
          <w:sz w:val="24"/>
          <w:szCs w:val="24"/>
        </w:rPr>
      </w:pPr>
      <w:r w:rsidRPr="006B700E">
        <w:rPr>
          <w:sz w:val="24"/>
          <w:szCs w:val="24"/>
        </w:rPr>
        <w:t xml:space="preserve">Pati raportime për diskriminim në punësim. Deri në muajin gusht komisioneri për mbrojtjen nga diskriminimi mori </w:t>
      </w:r>
      <w:r w:rsidR="009E1169" w:rsidRPr="006B700E">
        <w:rPr>
          <w:sz w:val="24"/>
          <w:szCs w:val="24"/>
        </w:rPr>
        <w:t xml:space="preserve">12 </w:t>
      </w:r>
      <w:r w:rsidRPr="006B700E">
        <w:rPr>
          <w:sz w:val="24"/>
          <w:szCs w:val="24"/>
        </w:rPr>
        <w:t xml:space="preserve">ankesa për diskriminim me bazë gjinore dhe inicioi vetë dy çështje. Komisioneri vendosi në favor të një çështjeje diskriminimi me bazë gjinore kundër Drejtorisë Rajonale të Policisë së Durrësit. Në muajin shkurt, komisioneri i kërkoi policisë të rikthente oficeren në pozicionin e përshtatshëm për gradën që ajo mbante. Drejtoria Rajonale e Policisë e ka çuar çështjen në apel. </w:t>
      </w:r>
    </w:p>
    <w:p w14:paraId="4CC6E567" w14:textId="77777777" w:rsidR="003E4A37" w:rsidRPr="006B700E" w:rsidRDefault="003E4A37" w:rsidP="003E4A37">
      <w:pPr>
        <w:jc w:val="both"/>
        <w:rPr>
          <w:b/>
        </w:rPr>
      </w:pPr>
      <w:r w:rsidRPr="006B700E">
        <w:rPr>
          <w:b/>
        </w:rPr>
        <w:t xml:space="preserve">e. Kushtet e pranueshme të punës </w:t>
      </w:r>
    </w:p>
    <w:p w14:paraId="055B8640" w14:textId="77777777" w:rsidR="003E4A37" w:rsidRPr="006B700E" w:rsidRDefault="003E4A37" w:rsidP="003E4A37">
      <w:pPr>
        <w:jc w:val="both"/>
        <w:rPr>
          <w:sz w:val="24"/>
          <w:szCs w:val="24"/>
        </w:rPr>
      </w:pPr>
      <w:r w:rsidRPr="006B700E">
        <w:rPr>
          <w:b/>
          <w:sz w:val="24"/>
          <w:szCs w:val="24"/>
        </w:rPr>
        <w:t>Ligjet për pagën dhe orarin:</w:t>
      </w:r>
      <w:r w:rsidRPr="006B700E">
        <w:rPr>
          <w:sz w:val="24"/>
          <w:szCs w:val="24"/>
        </w:rPr>
        <w:t xml:space="preserve"> Paga minimale kombëtare ishte më e lartë se pragu i varfërisë në nivel kombëtar. </w:t>
      </w:r>
    </w:p>
    <w:p w14:paraId="52D72D29" w14:textId="01DB14C7" w:rsidR="009E1169" w:rsidRPr="006B700E" w:rsidRDefault="00E96342" w:rsidP="00E96342">
      <w:pPr>
        <w:jc w:val="both"/>
        <w:rPr>
          <w:sz w:val="24"/>
          <w:szCs w:val="24"/>
        </w:rPr>
      </w:pPr>
      <w:r w:rsidRPr="006B700E">
        <w:rPr>
          <w:sz w:val="24"/>
          <w:szCs w:val="24"/>
        </w:rPr>
        <w:t xml:space="preserve">Ndonëse ligji përcakton javën e punës me 40 orë, marrëveshjet individuale dhe kolektive ishin ato që zakonisht përcaktonin në të vërtetë javën e punës. Ligji siguron pushime vjetore të paguara, por vetëm punonjësit në tregun formal të punës gëzuan të drejta për pushime të paguara. Shumë persona në sektorin privat punuan gjashtë ditë në javë. Ligji kërkon periudha pushimi dhe pagesë shtesë për punën jashtë orarit, por punëdhënësit nuk i zbatuan gjithnjë këto garanci. Shkeljet e ligjeve mbi pagat ndodhën më shpesh në industritë tekstile, të këpucëve, të ndërtimit dhe në miniera. </w:t>
      </w:r>
    </w:p>
    <w:p w14:paraId="23EC667F" w14:textId="16599736" w:rsidR="009E1169" w:rsidRPr="006B700E" w:rsidRDefault="00FF4740" w:rsidP="004D231D">
      <w:pPr>
        <w:rPr>
          <w:rFonts w:eastAsia="MS Mincho"/>
          <w:b/>
          <w:bCs/>
          <w:sz w:val="24"/>
          <w:szCs w:val="24"/>
        </w:rPr>
      </w:pPr>
      <w:r w:rsidRPr="006B700E">
        <w:rPr>
          <w:rFonts w:eastAsia="MS Mincho"/>
          <w:b/>
          <w:bCs/>
          <w:sz w:val="24"/>
          <w:szCs w:val="24"/>
        </w:rPr>
        <w:t>Siguria dhe shëndeti në punë</w:t>
      </w:r>
      <w:r w:rsidR="009E1169" w:rsidRPr="006B700E">
        <w:rPr>
          <w:rFonts w:eastAsia="MS Mincho"/>
          <w:b/>
          <w:bCs/>
          <w:sz w:val="24"/>
          <w:szCs w:val="24"/>
        </w:rPr>
        <w:t>:</w:t>
      </w:r>
      <w:r w:rsidR="009E1169" w:rsidRPr="006B700E">
        <w:rPr>
          <w:rFonts w:eastAsia="MS Mincho"/>
          <w:sz w:val="24"/>
          <w:szCs w:val="24"/>
        </w:rPr>
        <w:t xml:space="preserve"> </w:t>
      </w:r>
      <w:r w:rsidR="004D231D" w:rsidRPr="006B700E">
        <w:rPr>
          <w:rFonts w:eastAsia="MS Mincho"/>
          <w:sz w:val="24"/>
          <w:szCs w:val="24"/>
        </w:rPr>
        <w:t xml:space="preserve">Standardet e sigurisë dhe shëndetit në punë </w:t>
      </w:r>
      <w:r w:rsidR="009E1169" w:rsidRPr="006B700E">
        <w:rPr>
          <w:sz w:val="24"/>
          <w:szCs w:val="24"/>
        </w:rPr>
        <w:t>(</w:t>
      </w:r>
      <w:r w:rsidR="004D231D" w:rsidRPr="006B700E">
        <w:rPr>
          <w:sz w:val="24"/>
          <w:szCs w:val="24"/>
        </w:rPr>
        <w:t>SSHP</w:t>
      </w:r>
      <w:r w:rsidR="009E1169" w:rsidRPr="006B700E">
        <w:rPr>
          <w:sz w:val="24"/>
          <w:szCs w:val="24"/>
        </w:rPr>
        <w:t xml:space="preserve">) </w:t>
      </w:r>
      <w:r w:rsidR="004D231D" w:rsidRPr="006B700E">
        <w:rPr>
          <w:sz w:val="24"/>
          <w:szCs w:val="24"/>
        </w:rPr>
        <w:t xml:space="preserve">ishin të përshtatshme për industritë kryesore, megjithëse mungonte zbatimi. Ekspertët nuk identifikuan në mënyrë aktive kushtet e pasigurta përveç reagimit ndaj ankesave të punëtorëve. </w:t>
      </w:r>
    </w:p>
    <w:p w14:paraId="3F24DF7E" w14:textId="2B1A5BC9" w:rsidR="009E1169" w:rsidRPr="006B700E" w:rsidRDefault="004D231D" w:rsidP="009E1169">
      <w:pPr>
        <w:rPr>
          <w:rFonts w:eastAsia="MS Mincho"/>
          <w:sz w:val="24"/>
          <w:szCs w:val="24"/>
        </w:rPr>
      </w:pPr>
      <w:r w:rsidRPr="006B700E">
        <w:rPr>
          <w:sz w:val="24"/>
          <w:szCs w:val="24"/>
        </w:rPr>
        <w:t xml:space="preserve">Shkeljet e standardeve të SSHP-së ndodhën më shpesh në industritë tekstile, të këpucëve, të ndërtimit dhe në miniera. </w:t>
      </w:r>
    </w:p>
    <w:p w14:paraId="7BC1A5D0" w14:textId="303BC62B" w:rsidR="00CC4B7A" w:rsidRPr="006B700E" w:rsidRDefault="00B1080F" w:rsidP="00CC4B7A">
      <w:pPr>
        <w:rPr>
          <w:sz w:val="24"/>
          <w:szCs w:val="24"/>
        </w:rPr>
      </w:pPr>
      <w:r w:rsidRPr="006B700E">
        <w:rPr>
          <w:b/>
          <w:bCs/>
          <w:sz w:val="24"/>
          <w:szCs w:val="24"/>
        </w:rPr>
        <w:t>Zbatimi i pagës, orës dhe SSHP-së</w:t>
      </w:r>
      <w:r w:rsidR="009E1169" w:rsidRPr="006B700E">
        <w:rPr>
          <w:b/>
          <w:bCs/>
          <w:sz w:val="24"/>
          <w:szCs w:val="24"/>
        </w:rPr>
        <w:t>:</w:t>
      </w:r>
      <w:r w:rsidR="009E1169" w:rsidRPr="006B700E">
        <w:rPr>
          <w:sz w:val="24"/>
          <w:szCs w:val="24"/>
        </w:rPr>
        <w:t xml:space="preserve"> </w:t>
      </w:r>
      <w:r w:rsidR="00073BA7" w:rsidRPr="006B700E">
        <w:rPr>
          <w:sz w:val="24"/>
          <w:szCs w:val="24"/>
        </w:rPr>
        <w:t xml:space="preserve">Inspektorati i Shtetit për Punën dhe Shërbimet Shoqërore </w:t>
      </w:r>
      <w:r w:rsidR="009E1169" w:rsidRPr="006B700E">
        <w:rPr>
          <w:sz w:val="24"/>
          <w:szCs w:val="24"/>
        </w:rPr>
        <w:t>(I</w:t>
      </w:r>
      <w:r w:rsidR="00073BA7" w:rsidRPr="006B700E">
        <w:rPr>
          <w:sz w:val="24"/>
          <w:szCs w:val="24"/>
        </w:rPr>
        <w:t>SHPSHSH</w:t>
      </w:r>
      <w:r w:rsidR="009E1169" w:rsidRPr="006B700E">
        <w:rPr>
          <w:sz w:val="24"/>
          <w:szCs w:val="24"/>
        </w:rPr>
        <w:t xml:space="preserve">) </w:t>
      </w:r>
      <w:r w:rsidR="00073BA7" w:rsidRPr="006B700E">
        <w:rPr>
          <w:sz w:val="24"/>
          <w:szCs w:val="24"/>
        </w:rPr>
        <w:t xml:space="preserve">dhe autoritetet e taksave janë përgjegjëse për zbatimin e ligjit për pagën minimale dhe orët e punës. Agjencitë zbatuese nuk kishin instrumentet për të zbatuar mbledhjen dhe si pasojë rrallë vendosën gjoba për shkelësit. Numri i inspektorëve ishte i pamjaftueshëm për të zbatuar përputhshmërinë. Burimet për kryerjen e inspektimeve dhe kompensimin e shkeljeve nuk </w:t>
      </w:r>
      <w:r w:rsidR="00073BA7" w:rsidRPr="006B700E">
        <w:rPr>
          <w:sz w:val="24"/>
          <w:szCs w:val="24"/>
        </w:rPr>
        <w:lastRenderedPageBreak/>
        <w:t xml:space="preserve">ishin të mjaftueshme. Inspektorati i punës inspektoi 7 për qind të bizneseve në vend. </w:t>
      </w:r>
      <w:r w:rsidR="009E1169" w:rsidRPr="006B700E">
        <w:rPr>
          <w:sz w:val="24"/>
          <w:szCs w:val="24"/>
        </w:rPr>
        <w:t>Inspe</w:t>
      </w:r>
      <w:r w:rsidR="00073BA7" w:rsidRPr="006B700E">
        <w:rPr>
          <w:sz w:val="24"/>
          <w:szCs w:val="24"/>
        </w:rPr>
        <w:t>k</w:t>
      </w:r>
      <w:r w:rsidR="009E1169" w:rsidRPr="006B700E">
        <w:rPr>
          <w:sz w:val="24"/>
          <w:szCs w:val="24"/>
        </w:rPr>
        <w:t>tor</w:t>
      </w:r>
      <w:r w:rsidR="00073BA7" w:rsidRPr="006B700E">
        <w:rPr>
          <w:sz w:val="24"/>
          <w:szCs w:val="24"/>
        </w:rPr>
        <w:t xml:space="preserve">ët nuk patën autoritetin të bënin inspektime të panjoftuara dhe të ndërmerrnin masa ndëshkuese. Qeveria rrallë i zbatoi ligjet e lidhura me orët maksimale të punës, </w:t>
      </w:r>
      <w:r w:rsidR="00CC4B7A" w:rsidRPr="006B700E">
        <w:rPr>
          <w:sz w:val="24"/>
          <w:szCs w:val="24"/>
        </w:rPr>
        <w:t xml:space="preserve">kufizimet mbi orët shtesë ose pagesa shtesë për orët shtesë, veçanërisht në sektorin privat. Këto ligje nuk zbatoheshin për punonjësit migrantë ose punonjësit në sektorin informal. </w:t>
      </w:r>
    </w:p>
    <w:p w14:paraId="58038A37" w14:textId="0B5901FF" w:rsidR="009E1169" w:rsidRPr="006B700E" w:rsidRDefault="00CC4B7A" w:rsidP="00CC4B7A">
      <w:pPr>
        <w:rPr>
          <w:sz w:val="24"/>
          <w:szCs w:val="24"/>
          <w:shd w:val="clear" w:color="auto" w:fill="E6E6E6"/>
        </w:rPr>
      </w:pPr>
      <w:r w:rsidRPr="006B700E">
        <w:rPr>
          <w:sz w:val="24"/>
          <w:szCs w:val="24"/>
        </w:rPr>
        <w:t xml:space="preserve">ISHPSHSH-ja është gjithashtu përgjegjëse për standardet dhe rregullat e SSHP-së. Qeveria nuk </w:t>
      </w:r>
      <w:r w:rsidR="00597C9F" w:rsidRPr="006B700E">
        <w:rPr>
          <w:sz w:val="24"/>
          <w:szCs w:val="24"/>
        </w:rPr>
        <w:t>i</w:t>
      </w:r>
      <w:r w:rsidRPr="006B700E">
        <w:rPr>
          <w:sz w:val="24"/>
          <w:szCs w:val="24"/>
        </w:rPr>
        <w:t xml:space="preserve"> zbatoi efektshëm ligjet për SSHP-në. Burimet dhe inspektimet nuk ishin të mjaftueshme dhe dënimet nuk ishin në përpjesëtim të drejtë me ato për krime të ngjashme. Rrallë u vendosën dënime ndaj shkelësve. Punëtorët shpesh nuk mund të largoheshin nga situata që rrezikonin shëndetin ose sigurinë e tyre pa rrezikuar punësimin. Punëdhënësit nuk i mbrojtën efektshëm punëtorët në këtë situatë. </w:t>
      </w:r>
    </w:p>
    <w:p w14:paraId="0824CEE3" w14:textId="77777777" w:rsidR="00CC4B7A" w:rsidRPr="006B700E" w:rsidRDefault="00B1080F" w:rsidP="00B1080F">
      <w:pPr>
        <w:jc w:val="both"/>
        <w:rPr>
          <w:rFonts w:eastAsia="Calibri"/>
          <w:sz w:val="24"/>
          <w:szCs w:val="24"/>
        </w:rPr>
      </w:pPr>
      <w:r w:rsidRPr="006B700E">
        <w:rPr>
          <w:rFonts w:eastAsia="Calibri"/>
          <w:b/>
          <w:sz w:val="24"/>
          <w:szCs w:val="24"/>
        </w:rPr>
        <w:t>Sektori informal:</w:t>
      </w:r>
      <w:r w:rsidRPr="006B700E">
        <w:rPr>
          <w:rFonts w:eastAsia="Calibri"/>
          <w:sz w:val="24"/>
          <w:szCs w:val="24"/>
        </w:rPr>
        <w:t xml:space="preserve"> Punëtorët në sektorin informal përbënin 5</w:t>
      </w:r>
      <w:r w:rsidR="00CC4B7A" w:rsidRPr="006B700E">
        <w:rPr>
          <w:rFonts w:eastAsia="Calibri"/>
          <w:sz w:val="24"/>
          <w:szCs w:val="24"/>
        </w:rPr>
        <w:t>7</w:t>
      </w:r>
      <w:r w:rsidRPr="006B700E">
        <w:rPr>
          <w:rFonts w:eastAsia="Calibri"/>
          <w:sz w:val="24"/>
          <w:szCs w:val="24"/>
        </w:rPr>
        <w:t xml:space="preserve"> për qind të ekonomisë, sipas </w:t>
      </w:r>
      <w:r w:rsidRPr="006B700E">
        <w:rPr>
          <w:rFonts w:eastAsia="Calibri"/>
          <w:i/>
          <w:sz w:val="24"/>
          <w:szCs w:val="24"/>
        </w:rPr>
        <w:t xml:space="preserve">Pasqyrës së Ekonomisë Informale në Shqipëri 2019 </w:t>
      </w:r>
      <w:r w:rsidRPr="006B700E">
        <w:rPr>
          <w:rFonts w:eastAsia="Calibri"/>
          <w:sz w:val="24"/>
          <w:szCs w:val="24"/>
        </w:rPr>
        <w:t xml:space="preserve">nga Organizata Ndërkombëtare e Punës. Punëtorët informalë nuk mbulohen nga ligjet për pagën, orarin e punës dhe sigurinë e shëndetin në punë dhe qeveria nuk siguroi mbrojtje sociale për punëtorët informalë. Zbatimi nga qeveria i ligjeve të punës mbeti gjerësisht jo i efektshëm, pjesërisht si rrjedhojë e përhapjes së punësimit informal. </w:t>
      </w:r>
    </w:p>
    <w:p w14:paraId="330B757F" w14:textId="62EFE673" w:rsidR="00E73CCA" w:rsidRPr="006B700E" w:rsidRDefault="00E73CCA" w:rsidP="00E73CCA">
      <w:pPr>
        <w:rPr>
          <w:sz w:val="24"/>
          <w:szCs w:val="24"/>
        </w:rPr>
      </w:pPr>
      <w:r w:rsidRPr="006B700E">
        <w:rPr>
          <w:sz w:val="24"/>
          <w:szCs w:val="24"/>
        </w:rPr>
        <w:t>Inspektorati Shtetëror i Punës vërejti se shkalla më e lartë e punësimit informal ishte në ndërmarrjet prodhuese; hotele, bare dhe restorante; dhe në ndërtim.</w:t>
      </w:r>
    </w:p>
    <w:p w14:paraId="73A87D42" w14:textId="77777777" w:rsidR="003A6DB0" w:rsidRPr="006B700E" w:rsidRDefault="003A6DB0"/>
    <w:sectPr w:rsidR="003A6DB0" w:rsidRPr="006B700E" w:rsidSect="0049399D">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0B4A" w14:textId="77777777" w:rsidR="00172FC0" w:rsidRDefault="00172FC0" w:rsidP="003A4D55">
      <w:pPr>
        <w:spacing w:before="0" w:after="0" w:line="240" w:lineRule="auto"/>
      </w:pPr>
      <w:r>
        <w:separator/>
      </w:r>
    </w:p>
  </w:endnote>
  <w:endnote w:type="continuationSeparator" w:id="0">
    <w:p w14:paraId="3FA06342" w14:textId="77777777" w:rsidR="00172FC0" w:rsidRDefault="00172FC0" w:rsidP="003A4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243A6F" w14:paraId="075169C4" w14:textId="77777777" w:rsidTr="32243A6F">
      <w:trPr>
        <w:trHeight w:val="300"/>
      </w:trPr>
      <w:tc>
        <w:tcPr>
          <w:tcW w:w="3120" w:type="dxa"/>
        </w:tcPr>
        <w:p w14:paraId="2652F894" w14:textId="77777777" w:rsidR="32243A6F" w:rsidRDefault="00000000" w:rsidP="32243A6F">
          <w:pPr>
            <w:pStyle w:val="Header"/>
            <w:ind w:left="-115"/>
          </w:pPr>
        </w:p>
      </w:tc>
      <w:tc>
        <w:tcPr>
          <w:tcW w:w="3120" w:type="dxa"/>
        </w:tcPr>
        <w:p w14:paraId="58170202" w14:textId="77777777" w:rsidR="32243A6F" w:rsidRDefault="00000000" w:rsidP="32243A6F">
          <w:pPr>
            <w:pStyle w:val="Header"/>
            <w:jc w:val="center"/>
          </w:pPr>
        </w:p>
      </w:tc>
      <w:tc>
        <w:tcPr>
          <w:tcW w:w="3120" w:type="dxa"/>
        </w:tcPr>
        <w:p w14:paraId="05B4E211" w14:textId="77777777" w:rsidR="32243A6F" w:rsidRDefault="00000000" w:rsidP="32243A6F">
          <w:pPr>
            <w:pStyle w:val="Header"/>
            <w:ind w:right="-115"/>
            <w:jc w:val="right"/>
          </w:pPr>
        </w:p>
      </w:tc>
    </w:tr>
  </w:tbl>
  <w:p w14:paraId="59533189" w14:textId="77777777" w:rsidR="32243A6F" w:rsidRDefault="00000000" w:rsidP="3224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7241" w14:textId="10CEFE47" w:rsidR="003A4D55" w:rsidRPr="00DE18F2" w:rsidRDefault="003A4D55" w:rsidP="003A4D55">
    <w:pPr>
      <w:spacing w:before="0" w:after="0" w:line="240" w:lineRule="auto"/>
      <w:jc w:val="center"/>
      <w:rPr>
        <w:sz w:val="20"/>
        <w:szCs w:val="20"/>
      </w:rPr>
    </w:pPr>
    <w:r>
      <w:rPr>
        <w:sz w:val="20"/>
        <w:szCs w:val="20"/>
      </w:rPr>
      <w:t xml:space="preserve">Raportet e vendeve për respektimin e të Drejtave të Njeriut për vitin </w:t>
    </w:r>
    <w:r w:rsidRPr="00DE18F2">
      <w:rPr>
        <w:sz w:val="20"/>
        <w:szCs w:val="20"/>
      </w:rPr>
      <w:t>202</w:t>
    </w:r>
    <w:r>
      <w:rPr>
        <w:sz w:val="20"/>
        <w:szCs w:val="20"/>
      </w:rPr>
      <w:t>2</w:t>
    </w:r>
  </w:p>
  <w:p w14:paraId="20D4CDF4" w14:textId="5DA0B6C5" w:rsidR="002407B4" w:rsidRPr="00E72F89" w:rsidRDefault="003A4D55" w:rsidP="003A4D55">
    <w:pPr>
      <w:spacing w:before="0" w:after="0" w:line="240" w:lineRule="auto"/>
      <w:jc w:val="center"/>
      <w:rPr>
        <w:sz w:val="20"/>
        <w:szCs w:val="20"/>
      </w:rPr>
    </w:pPr>
    <w:r>
      <w:rPr>
        <w:sz w:val="20"/>
        <w:szCs w:val="20"/>
      </w:rPr>
      <w:t>Departamenti i Shtetit i Shteteve të Bashkuara</w:t>
    </w:r>
    <w:r w:rsidRPr="00DE18F2">
      <w:rPr>
        <w:sz w:val="20"/>
        <w:szCs w:val="20"/>
      </w:rPr>
      <w:t xml:space="preserve"> • </w:t>
    </w:r>
    <w:r>
      <w:rPr>
        <w:sz w:val="20"/>
        <w:szCs w:val="20"/>
      </w:rPr>
      <w:t>Zyra për Demokracinë</w:t>
    </w:r>
    <w:r w:rsidRPr="00DE18F2">
      <w:rPr>
        <w:sz w:val="20"/>
        <w:szCs w:val="20"/>
      </w:rPr>
      <w:t>,</w:t>
    </w:r>
    <w:r>
      <w:rPr>
        <w:sz w:val="20"/>
        <w:szCs w:val="20"/>
      </w:rPr>
      <w:t xml:space="preserve"> të Drejtat e Njeriut dhe Punën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6A11" w14:textId="77777777" w:rsidR="00172FC0" w:rsidRDefault="00172FC0" w:rsidP="003A4D55">
      <w:pPr>
        <w:spacing w:before="0" w:after="0" w:line="240" w:lineRule="auto"/>
      </w:pPr>
      <w:r>
        <w:separator/>
      </w:r>
    </w:p>
  </w:footnote>
  <w:footnote w:type="continuationSeparator" w:id="0">
    <w:p w14:paraId="4B5D814B" w14:textId="77777777" w:rsidR="00172FC0" w:rsidRDefault="00172FC0" w:rsidP="003A4D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243A6F" w14:paraId="12D52522" w14:textId="77777777" w:rsidTr="32243A6F">
      <w:trPr>
        <w:trHeight w:val="300"/>
      </w:trPr>
      <w:tc>
        <w:tcPr>
          <w:tcW w:w="3120" w:type="dxa"/>
        </w:tcPr>
        <w:p w14:paraId="50D43808" w14:textId="77777777" w:rsidR="32243A6F" w:rsidRDefault="00000000" w:rsidP="32243A6F">
          <w:pPr>
            <w:pStyle w:val="Header"/>
            <w:ind w:left="-115"/>
          </w:pPr>
        </w:p>
      </w:tc>
      <w:tc>
        <w:tcPr>
          <w:tcW w:w="3120" w:type="dxa"/>
        </w:tcPr>
        <w:p w14:paraId="787675AD" w14:textId="77777777" w:rsidR="32243A6F" w:rsidRDefault="00000000" w:rsidP="32243A6F">
          <w:pPr>
            <w:pStyle w:val="Header"/>
            <w:jc w:val="center"/>
          </w:pPr>
        </w:p>
      </w:tc>
      <w:tc>
        <w:tcPr>
          <w:tcW w:w="3120" w:type="dxa"/>
        </w:tcPr>
        <w:p w14:paraId="738D67D4" w14:textId="77777777" w:rsidR="32243A6F" w:rsidRDefault="00000000" w:rsidP="32243A6F">
          <w:pPr>
            <w:pStyle w:val="Header"/>
            <w:ind w:right="-115"/>
            <w:jc w:val="right"/>
          </w:pPr>
        </w:p>
      </w:tc>
    </w:tr>
  </w:tbl>
  <w:p w14:paraId="15FE393C" w14:textId="77777777" w:rsidR="32243A6F" w:rsidRDefault="00000000" w:rsidP="3224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243A6F" w14:paraId="01CCDAC4" w14:textId="77777777" w:rsidTr="32243A6F">
      <w:trPr>
        <w:trHeight w:val="300"/>
      </w:trPr>
      <w:tc>
        <w:tcPr>
          <w:tcW w:w="3120" w:type="dxa"/>
        </w:tcPr>
        <w:p w14:paraId="068ACF76" w14:textId="77777777" w:rsidR="32243A6F" w:rsidRDefault="00000000" w:rsidP="32243A6F">
          <w:pPr>
            <w:pStyle w:val="Header"/>
            <w:ind w:left="-115"/>
          </w:pPr>
        </w:p>
      </w:tc>
      <w:tc>
        <w:tcPr>
          <w:tcW w:w="3120" w:type="dxa"/>
        </w:tcPr>
        <w:p w14:paraId="16459160" w14:textId="77777777" w:rsidR="32243A6F" w:rsidRDefault="00000000" w:rsidP="32243A6F">
          <w:pPr>
            <w:pStyle w:val="Header"/>
            <w:jc w:val="center"/>
          </w:pPr>
        </w:p>
      </w:tc>
      <w:tc>
        <w:tcPr>
          <w:tcW w:w="3120" w:type="dxa"/>
        </w:tcPr>
        <w:p w14:paraId="05E6C980" w14:textId="77777777" w:rsidR="32243A6F" w:rsidRDefault="00000000" w:rsidP="32243A6F">
          <w:pPr>
            <w:pStyle w:val="Header"/>
            <w:ind w:right="-115"/>
            <w:jc w:val="right"/>
          </w:pPr>
        </w:p>
      </w:tc>
    </w:tr>
  </w:tbl>
  <w:p w14:paraId="2AF14B93" w14:textId="77777777" w:rsidR="32243A6F" w:rsidRDefault="00000000" w:rsidP="3224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FDCA"/>
    <w:multiLevelType w:val="hybridMultilevel"/>
    <w:tmpl w:val="F5E4F4AE"/>
    <w:lvl w:ilvl="0" w:tplc="7A1AD51A">
      <w:start w:val="1"/>
      <w:numFmt w:val="bullet"/>
      <w:lvlText w:val=""/>
      <w:lvlJc w:val="left"/>
      <w:pPr>
        <w:ind w:left="720" w:hanging="360"/>
      </w:pPr>
      <w:rPr>
        <w:rFonts w:ascii="Symbol" w:hAnsi="Symbol" w:hint="default"/>
      </w:rPr>
    </w:lvl>
    <w:lvl w:ilvl="1" w:tplc="F8F8FE22">
      <w:start w:val="1"/>
      <w:numFmt w:val="bullet"/>
      <w:lvlText w:val="o"/>
      <w:lvlJc w:val="left"/>
      <w:pPr>
        <w:ind w:left="1440" w:hanging="360"/>
      </w:pPr>
      <w:rPr>
        <w:rFonts w:ascii="Courier New" w:hAnsi="Courier New" w:hint="default"/>
      </w:rPr>
    </w:lvl>
    <w:lvl w:ilvl="2" w:tplc="E2F68468">
      <w:start w:val="1"/>
      <w:numFmt w:val="bullet"/>
      <w:lvlText w:val=""/>
      <w:lvlJc w:val="left"/>
      <w:pPr>
        <w:ind w:left="2160" w:hanging="360"/>
      </w:pPr>
      <w:rPr>
        <w:rFonts w:ascii="Wingdings" w:hAnsi="Wingdings" w:hint="default"/>
      </w:rPr>
    </w:lvl>
    <w:lvl w:ilvl="3" w:tplc="29C86886">
      <w:start w:val="1"/>
      <w:numFmt w:val="bullet"/>
      <w:lvlText w:val=""/>
      <w:lvlJc w:val="left"/>
      <w:pPr>
        <w:ind w:left="2880" w:hanging="360"/>
      </w:pPr>
      <w:rPr>
        <w:rFonts w:ascii="Symbol" w:hAnsi="Symbol" w:hint="default"/>
      </w:rPr>
    </w:lvl>
    <w:lvl w:ilvl="4" w:tplc="665C385E">
      <w:start w:val="1"/>
      <w:numFmt w:val="bullet"/>
      <w:lvlText w:val="o"/>
      <w:lvlJc w:val="left"/>
      <w:pPr>
        <w:ind w:left="3600" w:hanging="360"/>
      </w:pPr>
      <w:rPr>
        <w:rFonts w:ascii="Courier New" w:hAnsi="Courier New" w:hint="default"/>
      </w:rPr>
    </w:lvl>
    <w:lvl w:ilvl="5" w:tplc="ED36C5B4">
      <w:start w:val="1"/>
      <w:numFmt w:val="bullet"/>
      <w:lvlText w:val=""/>
      <w:lvlJc w:val="left"/>
      <w:pPr>
        <w:ind w:left="4320" w:hanging="360"/>
      </w:pPr>
      <w:rPr>
        <w:rFonts w:ascii="Wingdings" w:hAnsi="Wingdings" w:hint="default"/>
      </w:rPr>
    </w:lvl>
    <w:lvl w:ilvl="6" w:tplc="192AB098">
      <w:start w:val="1"/>
      <w:numFmt w:val="bullet"/>
      <w:lvlText w:val=""/>
      <w:lvlJc w:val="left"/>
      <w:pPr>
        <w:ind w:left="5040" w:hanging="360"/>
      </w:pPr>
      <w:rPr>
        <w:rFonts w:ascii="Symbol" w:hAnsi="Symbol" w:hint="default"/>
      </w:rPr>
    </w:lvl>
    <w:lvl w:ilvl="7" w:tplc="5E882126">
      <w:start w:val="1"/>
      <w:numFmt w:val="bullet"/>
      <w:lvlText w:val="o"/>
      <w:lvlJc w:val="left"/>
      <w:pPr>
        <w:ind w:left="5760" w:hanging="360"/>
      </w:pPr>
      <w:rPr>
        <w:rFonts w:ascii="Courier New" w:hAnsi="Courier New" w:hint="default"/>
      </w:rPr>
    </w:lvl>
    <w:lvl w:ilvl="8" w:tplc="F606012E">
      <w:start w:val="1"/>
      <w:numFmt w:val="bullet"/>
      <w:lvlText w:val=""/>
      <w:lvlJc w:val="left"/>
      <w:pPr>
        <w:ind w:left="6480" w:hanging="360"/>
      </w:pPr>
      <w:rPr>
        <w:rFonts w:ascii="Wingdings" w:hAnsi="Wingdings" w:hint="default"/>
      </w:rPr>
    </w:lvl>
  </w:abstractNum>
  <w:abstractNum w:abstractNumId="1" w15:restartNumberingAfterBreak="0">
    <w:nsid w:val="0B3B7956"/>
    <w:multiLevelType w:val="hybridMultilevel"/>
    <w:tmpl w:val="FFFFFFFF"/>
    <w:lvl w:ilvl="0" w:tplc="67C0B03C">
      <w:start w:val="1"/>
      <w:numFmt w:val="bullet"/>
      <w:lvlText w:val="-"/>
      <w:lvlJc w:val="left"/>
      <w:pPr>
        <w:ind w:left="720" w:hanging="360"/>
      </w:pPr>
      <w:rPr>
        <w:rFonts w:ascii="Symbol" w:hAnsi="Symbol" w:hint="default"/>
      </w:rPr>
    </w:lvl>
    <w:lvl w:ilvl="1" w:tplc="807EF836">
      <w:start w:val="1"/>
      <w:numFmt w:val="bullet"/>
      <w:lvlText w:val="o"/>
      <w:lvlJc w:val="left"/>
      <w:pPr>
        <w:ind w:left="1440" w:hanging="360"/>
      </w:pPr>
      <w:rPr>
        <w:rFonts w:ascii="Courier New" w:hAnsi="Courier New" w:hint="default"/>
      </w:rPr>
    </w:lvl>
    <w:lvl w:ilvl="2" w:tplc="DE7A8FAC">
      <w:start w:val="1"/>
      <w:numFmt w:val="bullet"/>
      <w:lvlText w:val=""/>
      <w:lvlJc w:val="left"/>
      <w:pPr>
        <w:ind w:left="2160" w:hanging="360"/>
      </w:pPr>
      <w:rPr>
        <w:rFonts w:ascii="Wingdings" w:hAnsi="Wingdings" w:hint="default"/>
      </w:rPr>
    </w:lvl>
    <w:lvl w:ilvl="3" w:tplc="31FC1F50">
      <w:start w:val="1"/>
      <w:numFmt w:val="bullet"/>
      <w:lvlText w:val=""/>
      <w:lvlJc w:val="left"/>
      <w:pPr>
        <w:ind w:left="2880" w:hanging="360"/>
      </w:pPr>
      <w:rPr>
        <w:rFonts w:ascii="Symbol" w:hAnsi="Symbol" w:hint="default"/>
      </w:rPr>
    </w:lvl>
    <w:lvl w:ilvl="4" w:tplc="93A0F770">
      <w:start w:val="1"/>
      <w:numFmt w:val="bullet"/>
      <w:lvlText w:val="o"/>
      <w:lvlJc w:val="left"/>
      <w:pPr>
        <w:ind w:left="3600" w:hanging="360"/>
      </w:pPr>
      <w:rPr>
        <w:rFonts w:ascii="Courier New" w:hAnsi="Courier New" w:hint="default"/>
      </w:rPr>
    </w:lvl>
    <w:lvl w:ilvl="5" w:tplc="2A9297EC">
      <w:start w:val="1"/>
      <w:numFmt w:val="bullet"/>
      <w:lvlText w:val=""/>
      <w:lvlJc w:val="left"/>
      <w:pPr>
        <w:ind w:left="4320" w:hanging="360"/>
      </w:pPr>
      <w:rPr>
        <w:rFonts w:ascii="Wingdings" w:hAnsi="Wingdings" w:hint="default"/>
      </w:rPr>
    </w:lvl>
    <w:lvl w:ilvl="6" w:tplc="CD607C70">
      <w:start w:val="1"/>
      <w:numFmt w:val="bullet"/>
      <w:lvlText w:val=""/>
      <w:lvlJc w:val="left"/>
      <w:pPr>
        <w:ind w:left="5040" w:hanging="360"/>
      </w:pPr>
      <w:rPr>
        <w:rFonts w:ascii="Symbol" w:hAnsi="Symbol" w:hint="default"/>
      </w:rPr>
    </w:lvl>
    <w:lvl w:ilvl="7" w:tplc="36CC7836">
      <w:start w:val="1"/>
      <w:numFmt w:val="bullet"/>
      <w:lvlText w:val="o"/>
      <w:lvlJc w:val="left"/>
      <w:pPr>
        <w:ind w:left="5760" w:hanging="360"/>
      </w:pPr>
      <w:rPr>
        <w:rFonts w:ascii="Courier New" w:hAnsi="Courier New" w:hint="default"/>
      </w:rPr>
    </w:lvl>
    <w:lvl w:ilvl="8" w:tplc="365E18B2">
      <w:start w:val="1"/>
      <w:numFmt w:val="bullet"/>
      <w:lvlText w:val=""/>
      <w:lvlJc w:val="left"/>
      <w:pPr>
        <w:ind w:left="6480" w:hanging="360"/>
      </w:pPr>
      <w:rPr>
        <w:rFonts w:ascii="Wingdings" w:hAnsi="Wingdings" w:hint="default"/>
      </w:rPr>
    </w:lvl>
  </w:abstractNum>
  <w:abstractNum w:abstractNumId="2" w15:restartNumberingAfterBreak="0">
    <w:nsid w:val="1608BC26"/>
    <w:multiLevelType w:val="hybridMultilevel"/>
    <w:tmpl w:val="7E4E173A"/>
    <w:lvl w:ilvl="0" w:tplc="5F20BAEC">
      <w:start w:val="1"/>
      <w:numFmt w:val="bullet"/>
      <w:lvlText w:val=""/>
      <w:lvlJc w:val="left"/>
      <w:pPr>
        <w:ind w:left="720" w:hanging="360"/>
      </w:pPr>
      <w:rPr>
        <w:rFonts w:ascii="Symbol" w:hAnsi="Symbol" w:hint="default"/>
      </w:rPr>
    </w:lvl>
    <w:lvl w:ilvl="1" w:tplc="8DC8C182">
      <w:start w:val="1"/>
      <w:numFmt w:val="bullet"/>
      <w:lvlText w:val="o"/>
      <w:lvlJc w:val="left"/>
      <w:pPr>
        <w:ind w:left="1440" w:hanging="360"/>
      </w:pPr>
      <w:rPr>
        <w:rFonts w:ascii="Courier New" w:hAnsi="Courier New" w:hint="default"/>
      </w:rPr>
    </w:lvl>
    <w:lvl w:ilvl="2" w:tplc="3F923050">
      <w:start w:val="1"/>
      <w:numFmt w:val="bullet"/>
      <w:lvlText w:val=""/>
      <w:lvlJc w:val="left"/>
      <w:pPr>
        <w:ind w:left="2160" w:hanging="360"/>
      </w:pPr>
      <w:rPr>
        <w:rFonts w:ascii="Wingdings" w:hAnsi="Wingdings" w:hint="default"/>
      </w:rPr>
    </w:lvl>
    <w:lvl w:ilvl="3" w:tplc="F6F0EF26">
      <w:start w:val="1"/>
      <w:numFmt w:val="bullet"/>
      <w:lvlText w:val=""/>
      <w:lvlJc w:val="left"/>
      <w:pPr>
        <w:ind w:left="2880" w:hanging="360"/>
      </w:pPr>
      <w:rPr>
        <w:rFonts w:ascii="Symbol" w:hAnsi="Symbol" w:hint="default"/>
      </w:rPr>
    </w:lvl>
    <w:lvl w:ilvl="4" w:tplc="1C3C6996">
      <w:start w:val="1"/>
      <w:numFmt w:val="bullet"/>
      <w:lvlText w:val="o"/>
      <w:lvlJc w:val="left"/>
      <w:pPr>
        <w:ind w:left="3600" w:hanging="360"/>
      </w:pPr>
      <w:rPr>
        <w:rFonts w:ascii="Courier New" w:hAnsi="Courier New" w:hint="default"/>
      </w:rPr>
    </w:lvl>
    <w:lvl w:ilvl="5" w:tplc="F7C4CBCE">
      <w:start w:val="1"/>
      <w:numFmt w:val="bullet"/>
      <w:lvlText w:val=""/>
      <w:lvlJc w:val="left"/>
      <w:pPr>
        <w:ind w:left="4320" w:hanging="360"/>
      </w:pPr>
      <w:rPr>
        <w:rFonts w:ascii="Wingdings" w:hAnsi="Wingdings" w:hint="default"/>
      </w:rPr>
    </w:lvl>
    <w:lvl w:ilvl="6" w:tplc="1D4AE3B8">
      <w:start w:val="1"/>
      <w:numFmt w:val="bullet"/>
      <w:lvlText w:val=""/>
      <w:lvlJc w:val="left"/>
      <w:pPr>
        <w:ind w:left="5040" w:hanging="360"/>
      </w:pPr>
      <w:rPr>
        <w:rFonts w:ascii="Symbol" w:hAnsi="Symbol" w:hint="default"/>
      </w:rPr>
    </w:lvl>
    <w:lvl w:ilvl="7" w:tplc="9AC2926E">
      <w:start w:val="1"/>
      <w:numFmt w:val="bullet"/>
      <w:lvlText w:val="o"/>
      <w:lvlJc w:val="left"/>
      <w:pPr>
        <w:ind w:left="5760" w:hanging="360"/>
      </w:pPr>
      <w:rPr>
        <w:rFonts w:ascii="Courier New" w:hAnsi="Courier New" w:hint="default"/>
      </w:rPr>
    </w:lvl>
    <w:lvl w:ilvl="8" w:tplc="EF40F81C">
      <w:start w:val="1"/>
      <w:numFmt w:val="bullet"/>
      <w:lvlText w:val=""/>
      <w:lvlJc w:val="left"/>
      <w:pPr>
        <w:ind w:left="6480" w:hanging="360"/>
      </w:pPr>
      <w:rPr>
        <w:rFonts w:ascii="Wingdings" w:hAnsi="Wingdings" w:hint="default"/>
      </w:rPr>
    </w:lvl>
  </w:abstractNum>
  <w:abstractNum w:abstractNumId="3" w15:restartNumberingAfterBreak="0">
    <w:nsid w:val="40735E9A"/>
    <w:multiLevelType w:val="hybridMultilevel"/>
    <w:tmpl w:val="D1A8CED4"/>
    <w:lvl w:ilvl="0" w:tplc="39201168">
      <w:start w:val="1"/>
      <w:numFmt w:val="bullet"/>
      <w:lvlText w:val=""/>
      <w:lvlJc w:val="left"/>
      <w:pPr>
        <w:ind w:left="720" w:hanging="360"/>
      </w:pPr>
      <w:rPr>
        <w:rFonts w:ascii="Symbol" w:hAnsi="Symbol" w:hint="default"/>
      </w:rPr>
    </w:lvl>
    <w:lvl w:ilvl="1" w:tplc="3DB81D0A">
      <w:start w:val="1"/>
      <w:numFmt w:val="bullet"/>
      <w:lvlText w:val="o"/>
      <w:lvlJc w:val="left"/>
      <w:pPr>
        <w:ind w:left="1440" w:hanging="360"/>
      </w:pPr>
      <w:rPr>
        <w:rFonts w:ascii="Courier New" w:hAnsi="Courier New" w:hint="default"/>
      </w:rPr>
    </w:lvl>
    <w:lvl w:ilvl="2" w:tplc="4A24AE5A">
      <w:start w:val="1"/>
      <w:numFmt w:val="bullet"/>
      <w:lvlText w:val=""/>
      <w:lvlJc w:val="left"/>
      <w:pPr>
        <w:ind w:left="2160" w:hanging="360"/>
      </w:pPr>
      <w:rPr>
        <w:rFonts w:ascii="Wingdings" w:hAnsi="Wingdings" w:hint="default"/>
      </w:rPr>
    </w:lvl>
    <w:lvl w:ilvl="3" w:tplc="5FF83AD6">
      <w:start w:val="1"/>
      <w:numFmt w:val="bullet"/>
      <w:lvlText w:val=""/>
      <w:lvlJc w:val="left"/>
      <w:pPr>
        <w:ind w:left="2880" w:hanging="360"/>
      </w:pPr>
      <w:rPr>
        <w:rFonts w:ascii="Symbol" w:hAnsi="Symbol" w:hint="default"/>
      </w:rPr>
    </w:lvl>
    <w:lvl w:ilvl="4" w:tplc="AB100370">
      <w:start w:val="1"/>
      <w:numFmt w:val="bullet"/>
      <w:lvlText w:val="o"/>
      <w:lvlJc w:val="left"/>
      <w:pPr>
        <w:ind w:left="3600" w:hanging="360"/>
      </w:pPr>
      <w:rPr>
        <w:rFonts w:ascii="Courier New" w:hAnsi="Courier New" w:hint="default"/>
      </w:rPr>
    </w:lvl>
    <w:lvl w:ilvl="5" w:tplc="1868982A">
      <w:start w:val="1"/>
      <w:numFmt w:val="bullet"/>
      <w:lvlText w:val=""/>
      <w:lvlJc w:val="left"/>
      <w:pPr>
        <w:ind w:left="4320" w:hanging="360"/>
      </w:pPr>
      <w:rPr>
        <w:rFonts w:ascii="Wingdings" w:hAnsi="Wingdings" w:hint="default"/>
      </w:rPr>
    </w:lvl>
    <w:lvl w:ilvl="6" w:tplc="154693E8">
      <w:start w:val="1"/>
      <w:numFmt w:val="bullet"/>
      <w:lvlText w:val=""/>
      <w:lvlJc w:val="left"/>
      <w:pPr>
        <w:ind w:left="5040" w:hanging="360"/>
      </w:pPr>
      <w:rPr>
        <w:rFonts w:ascii="Symbol" w:hAnsi="Symbol" w:hint="default"/>
      </w:rPr>
    </w:lvl>
    <w:lvl w:ilvl="7" w:tplc="B720FC10">
      <w:start w:val="1"/>
      <w:numFmt w:val="bullet"/>
      <w:lvlText w:val="o"/>
      <w:lvlJc w:val="left"/>
      <w:pPr>
        <w:ind w:left="5760" w:hanging="360"/>
      </w:pPr>
      <w:rPr>
        <w:rFonts w:ascii="Courier New" w:hAnsi="Courier New" w:hint="default"/>
      </w:rPr>
    </w:lvl>
    <w:lvl w:ilvl="8" w:tplc="B3E4D86A">
      <w:start w:val="1"/>
      <w:numFmt w:val="bullet"/>
      <w:lvlText w:val=""/>
      <w:lvlJc w:val="left"/>
      <w:pPr>
        <w:ind w:left="6480" w:hanging="360"/>
      </w:pPr>
      <w:rPr>
        <w:rFonts w:ascii="Wingdings" w:hAnsi="Wingdings" w:hint="default"/>
      </w:rPr>
    </w:lvl>
  </w:abstractNum>
  <w:abstractNum w:abstractNumId="4" w15:restartNumberingAfterBreak="0">
    <w:nsid w:val="4B9D61AB"/>
    <w:multiLevelType w:val="hybridMultilevel"/>
    <w:tmpl w:val="FFFFFFFF"/>
    <w:lvl w:ilvl="0" w:tplc="CEA89B9E">
      <w:start w:val="1"/>
      <w:numFmt w:val="bullet"/>
      <w:lvlText w:val=""/>
      <w:lvlJc w:val="left"/>
      <w:pPr>
        <w:ind w:left="720" w:hanging="360"/>
      </w:pPr>
      <w:rPr>
        <w:rFonts w:ascii="Symbol" w:hAnsi="Symbol" w:hint="default"/>
      </w:rPr>
    </w:lvl>
    <w:lvl w:ilvl="1" w:tplc="ADC03064">
      <w:start w:val="1"/>
      <w:numFmt w:val="bullet"/>
      <w:lvlText w:val="o"/>
      <w:lvlJc w:val="left"/>
      <w:pPr>
        <w:ind w:left="1440" w:hanging="360"/>
      </w:pPr>
      <w:rPr>
        <w:rFonts w:ascii="Courier New" w:hAnsi="Courier New" w:hint="default"/>
      </w:rPr>
    </w:lvl>
    <w:lvl w:ilvl="2" w:tplc="F8D8073A">
      <w:start w:val="1"/>
      <w:numFmt w:val="bullet"/>
      <w:lvlText w:val=""/>
      <w:lvlJc w:val="left"/>
      <w:pPr>
        <w:ind w:left="2160" w:hanging="360"/>
      </w:pPr>
      <w:rPr>
        <w:rFonts w:ascii="Wingdings" w:hAnsi="Wingdings" w:hint="default"/>
      </w:rPr>
    </w:lvl>
    <w:lvl w:ilvl="3" w:tplc="BC244708">
      <w:start w:val="1"/>
      <w:numFmt w:val="bullet"/>
      <w:lvlText w:val=""/>
      <w:lvlJc w:val="left"/>
      <w:pPr>
        <w:ind w:left="2880" w:hanging="360"/>
      </w:pPr>
      <w:rPr>
        <w:rFonts w:ascii="Symbol" w:hAnsi="Symbol" w:hint="default"/>
      </w:rPr>
    </w:lvl>
    <w:lvl w:ilvl="4" w:tplc="7F6A662E">
      <w:start w:val="1"/>
      <w:numFmt w:val="bullet"/>
      <w:lvlText w:val="o"/>
      <w:lvlJc w:val="left"/>
      <w:pPr>
        <w:ind w:left="3600" w:hanging="360"/>
      </w:pPr>
      <w:rPr>
        <w:rFonts w:ascii="Courier New" w:hAnsi="Courier New" w:hint="default"/>
      </w:rPr>
    </w:lvl>
    <w:lvl w:ilvl="5" w:tplc="90406730">
      <w:start w:val="1"/>
      <w:numFmt w:val="bullet"/>
      <w:lvlText w:val=""/>
      <w:lvlJc w:val="left"/>
      <w:pPr>
        <w:ind w:left="4320" w:hanging="360"/>
      </w:pPr>
      <w:rPr>
        <w:rFonts w:ascii="Wingdings" w:hAnsi="Wingdings" w:hint="default"/>
      </w:rPr>
    </w:lvl>
    <w:lvl w:ilvl="6" w:tplc="FAB81D88">
      <w:start w:val="1"/>
      <w:numFmt w:val="bullet"/>
      <w:lvlText w:val=""/>
      <w:lvlJc w:val="left"/>
      <w:pPr>
        <w:ind w:left="5040" w:hanging="360"/>
      </w:pPr>
      <w:rPr>
        <w:rFonts w:ascii="Symbol" w:hAnsi="Symbol" w:hint="default"/>
      </w:rPr>
    </w:lvl>
    <w:lvl w:ilvl="7" w:tplc="3DC2C38E">
      <w:start w:val="1"/>
      <w:numFmt w:val="bullet"/>
      <w:lvlText w:val="o"/>
      <w:lvlJc w:val="left"/>
      <w:pPr>
        <w:ind w:left="5760" w:hanging="360"/>
      </w:pPr>
      <w:rPr>
        <w:rFonts w:ascii="Courier New" w:hAnsi="Courier New" w:hint="default"/>
      </w:rPr>
    </w:lvl>
    <w:lvl w:ilvl="8" w:tplc="D2AA6F9E">
      <w:start w:val="1"/>
      <w:numFmt w:val="bullet"/>
      <w:lvlText w:val=""/>
      <w:lvlJc w:val="left"/>
      <w:pPr>
        <w:ind w:left="6480" w:hanging="360"/>
      </w:pPr>
      <w:rPr>
        <w:rFonts w:ascii="Wingdings" w:hAnsi="Wingdings" w:hint="default"/>
      </w:rPr>
    </w:lvl>
  </w:abstractNum>
  <w:abstractNum w:abstractNumId="5" w15:restartNumberingAfterBreak="0">
    <w:nsid w:val="52F301AC"/>
    <w:multiLevelType w:val="hybridMultilevel"/>
    <w:tmpl w:val="414C6C96"/>
    <w:lvl w:ilvl="0" w:tplc="47CCF0FC">
      <w:start w:val="1"/>
      <w:numFmt w:val="bullet"/>
      <w:lvlText w:val=""/>
      <w:lvlJc w:val="left"/>
      <w:pPr>
        <w:ind w:left="720" w:hanging="360"/>
      </w:pPr>
      <w:rPr>
        <w:rFonts w:ascii="Symbol" w:hAnsi="Symbol" w:hint="default"/>
      </w:rPr>
    </w:lvl>
    <w:lvl w:ilvl="1" w:tplc="9B7EA4A2">
      <w:start w:val="1"/>
      <w:numFmt w:val="bullet"/>
      <w:lvlText w:val="o"/>
      <w:lvlJc w:val="left"/>
      <w:pPr>
        <w:ind w:left="1440" w:hanging="360"/>
      </w:pPr>
      <w:rPr>
        <w:rFonts w:ascii="Courier New" w:hAnsi="Courier New" w:hint="default"/>
      </w:rPr>
    </w:lvl>
    <w:lvl w:ilvl="2" w:tplc="5F34EC48">
      <w:start w:val="1"/>
      <w:numFmt w:val="bullet"/>
      <w:lvlText w:val=""/>
      <w:lvlJc w:val="left"/>
      <w:pPr>
        <w:ind w:left="2160" w:hanging="360"/>
      </w:pPr>
      <w:rPr>
        <w:rFonts w:ascii="Wingdings" w:hAnsi="Wingdings" w:hint="default"/>
      </w:rPr>
    </w:lvl>
    <w:lvl w:ilvl="3" w:tplc="4816C93A">
      <w:start w:val="1"/>
      <w:numFmt w:val="bullet"/>
      <w:lvlText w:val=""/>
      <w:lvlJc w:val="left"/>
      <w:pPr>
        <w:ind w:left="2880" w:hanging="360"/>
      </w:pPr>
      <w:rPr>
        <w:rFonts w:ascii="Symbol" w:hAnsi="Symbol" w:hint="default"/>
      </w:rPr>
    </w:lvl>
    <w:lvl w:ilvl="4" w:tplc="3300044E">
      <w:start w:val="1"/>
      <w:numFmt w:val="bullet"/>
      <w:lvlText w:val="o"/>
      <w:lvlJc w:val="left"/>
      <w:pPr>
        <w:ind w:left="3600" w:hanging="360"/>
      </w:pPr>
      <w:rPr>
        <w:rFonts w:ascii="Courier New" w:hAnsi="Courier New" w:hint="default"/>
      </w:rPr>
    </w:lvl>
    <w:lvl w:ilvl="5" w:tplc="94EE0A44">
      <w:start w:val="1"/>
      <w:numFmt w:val="bullet"/>
      <w:lvlText w:val=""/>
      <w:lvlJc w:val="left"/>
      <w:pPr>
        <w:ind w:left="4320" w:hanging="360"/>
      </w:pPr>
      <w:rPr>
        <w:rFonts w:ascii="Wingdings" w:hAnsi="Wingdings" w:hint="default"/>
      </w:rPr>
    </w:lvl>
    <w:lvl w:ilvl="6" w:tplc="1614782E">
      <w:start w:val="1"/>
      <w:numFmt w:val="bullet"/>
      <w:lvlText w:val=""/>
      <w:lvlJc w:val="left"/>
      <w:pPr>
        <w:ind w:left="5040" w:hanging="360"/>
      </w:pPr>
      <w:rPr>
        <w:rFonts w:ascii="Symbol" w:hAnsi="Symbol" w:hint="default"/>
      </w:rPr>
    </w:lvl>
    <w:lvl w:ilvl="7" w:tplc="1A48C624">
      <w:start w:val="1"/>
      <w:numFmt w:val="bullet"/>
      <w:lvlText w:val="o"/>
      <w:lvlJc w:val="left"/>
      <w:pPr>
        <w:ind w:left="5760" w:hanging="360"/>
      </w:pPr>
      <w:rPr>
        <w:rFonts w:ascii="Courier New" w:hAnsi="Courier New" w:hint="default"/>
      </w:rPr>
    </w:lvl>
    <w:lvl w:ilvl="8" w:tplc="E0EC7A42">
      <w:start w:val="1"/>
      <w:numFmt w:val="bullet"/>
      <w:lvlText w:val=""/>
      <w:lvlJc w:val="left"/>
      <w:pPr>
        <w:ind w:left="6480" w:hanging="360"/>
      </w:pPr>
      <w:rPr>
        <w:rFonts w:ascii="Wingdings" w:hAnsi="Wingdings" w:hint="default"/>
      </w:rPr>
    </w:lvl>
  </w:abstractNum>
  <w:abstractNum w:abstractNumId="6" w15:restartNumberingAfterBreak="0">
    <w:nsid w:val="627A3ADC"/>
    <w:multiLevelType w:val="hybridMultilevel"/>
    <w:tmpl w:val="FFFFFFFF"/>
    <w:lvl w:ilvl="0" w:tplc="B978D6D4">
      <w:start w:val="1"/>
      <w:numFmt w:val="bullet"/>
      <w:lvlText w:val=""/>
      <w:lvlJc w:val="left"/>
      <w:pPr>
        <w:ind w:left="720" w:hanging="360"/>
      </w:pPr>
      <w:rPr>
        <w:rFonts w:ascii="Symbol" w:hAnsi="Symbol" w:hint="default"/>
      </w:rPr>
    </w:lvl>
    <w:lvl w:ilvl="1" w:tplc="2326ECE8">
      <w:start w:val="1"/>
      <w:numFmt w:val="bullet"/>
      <w:lvlText w:val="o"/>
      <w:lvlJc w:val="left"/>
      <w:pPr>
        <w:ind w:left="1440" w:hanging="360"/>
      </w:pPr>
      <w:rPr>
        <w:rFonts w:ascii="Courier New" w:hAnsi="Courier New" w:hint="default"/>
      </w:rPr>
    </w:lvl>
    <w:lvl w:ilvl="2" w:tplc="18387E88">
      <w:start w:val="1"/>
      <w:numFmt w:val="bullet"/>
      <w:lvlText w:val=""/>
      <w:lvlJc w:val="left"/>
      <w:pPr>
        <w:ind w:left="2160" w:hanging="360"/>
      </w:pPr>
      <w:rPr>
        <w:rFonts w:ascii="Wingdings" w:hAnsi="Wingdings" w:hint="default"/>
      </w:rPr>
    </w:lvl>
    <w:lvl w:ilvl="3" w:tplc="B2748814">
      <w:start w:val="1"/>
      <w:numFmt w:val="bullet"/>
      <w:lvlText w:val=""/>
      <w:lvlJc w:val="left"/>
      <w:pPr>
        <w:ind w:left="2880" w:hanging="360"/>
      </w:pPr>
      <w:rPr>
        <w:rFonts w:ascii="Symbol" w:hAnsi="Symbol" w:hint="default"/>
      </w:rPr>
    </w:lvl>
    <w:lvl w:ilvl="4" w:tplc="E3EC5F7E">
      <w:start w:val="1"/>
      <w:numFmt w:val="bullet"/>
      <w:lvlText w:val="o"/>
      <w:lvlJc w:val="left"/>
      <w:pPr>
        <w:ind w:left="3600" w:hanging="360"/>
      </w:pPr>
      <w:rPr>
        <w:rFonts w:ascii="Courier New" w:hAnsi="Courier New" w:hint="default"/>
      </w:rPr>
    </w:lvl>
    <w:lvl w:ilvl="5" w:tplc="CA6AD37A">
      <w:start w:val="1"/>
      <w:numFmt w:val="bullet"/>
      <w:lvlText w:val=""/>
      <w:lvlJc w:val="left"/>
      <w:pPr>
        <w:ind w:left="4320" w:hanging="360"/>
      </w:pPr>
      <w:rPr>
        <w:rFonts w:ascii="Wingdings" w:hAnsi="Wingdings" w:hint="default"/>
      </w:rPr>
    </w:lvl>
    <w:lvl w:ilvl="6" w:tplc="6CF08A74">
      <w:start w:val="1"/>
      <w:numFmt w:val="bullet"/>
      <w:lvlText w:val=""/>
      <w:lvlJc w:val="left"/>
      <w:pPr>
        <w:ind w:left="5040" w:hanging="360"/>
      </w:pPr>
      <w:rPr>
        <w:rFonts w:ascii="Symbol" w:hAnsi="Symbol" w:hint="default"/>
      </w:rPr>
    </w:lvl>
    <w:lvl w:ilvl="7" w:tplc="FBE075EA">
      <w:start w:val="1"/>
      <w:numFmt w:val="bullet"/>
      <w:lvlText w:val="o"/>
      <w:lvlJc w:val="left"/>
      <w:pPr>
        <w:ind w:left="5760" w:hanging="360"/>
      </w:pPr>
      <w:rPr>
        <w:rFonts w:ascii="Courier New" w:hAnsi="Courier New" w:hint="default"/>
      </w:rPr>
    </w:lvl>
    <w:lvl w:ilvl="8" w:tplc="210E635A">
      <w:start w:val="1"/>
      <w:numFmt w:val="bullet"/>
      <w:lvlText w:val=""/>
      <w:lvlJc w:val="left"/>
      <w:pPr>
        <w:ind w:left="6480" w:hanging="360"/>
      </w:pPr>
      <w:rPr>
        <w:rFonts w:ascii="Wingdings" w:hAnsi="Wingdings" w:hint="default"/>
      </w:rPr>
    </w:lvl>
  </w:abstractNum>
  <w:abstractNum w:abstractNumId="7" w15:restartNumberingAfterBreak="0">
    <w:nsid w:val="67672BD0"/>
    <w:multiLevelType w:val="hybridMultilevel"/>
    <w:tmpl w:val="FFFFFFFF"/>
    <w:lvl w:ilvl="0" w:tplc="00B47B48">
      <w:start w:val="1"/>
      <w:numFmt w:val="bullet"/>
      <w:lvlText w:val="-"/>
      <w:lvlJc w:val="left"/>
      <w:pPr>
        <w:ind w:left="720" w:hanging="360"/>
      </w:pPr>
      <w:rPr>
        <w:rFonts w:ascii="Symbol" w:hAnsi="Symbol" w:hint="default"/>
      </w:rPr>
    </w:lvl>
    <w:lvl w:ilvl="1" w:tplc="0CD83D70">
      <w:start w:val="1"/>
      <w:numFmt w:val="bullet"/>
      <w:lvlText w:val="o"/>
      <w:lvlJc w:val="left"/>
      <w:pPr>
        <w:ind w:left="1440" w:hanging="360"/>
      </w:pPr>
      <w:rPr>
        <w:rFonts w:ascii="Courier New" w:hAnsi="Courier New" w:hint="default"/>
      </w:rPr>
    </w:lvl>
    <w:lvl w:ilvl="2" w:tplc="60B67A18">
      <w:start w:val="1"/>
      <w:numFmt w:val="bullet"/>
      <w:lvlText w:val=""/>
      <w:lvlJc w:val="left"/>
      <w:pPr>
        <w:ind w:left="2160" w:hanging="360"/>
      </w:pPr>
      <w:rPr>
        <w:rFonts w:ascii="Wingdings" w:hAnsi="Wingdings" w:hint="default"/>
      </w:rPr>
    </w:lvl>
    <w:lvl w:ilvl="3" w:tplc="4DFEA076">
      <w:start w:val="1"/>
      <w:numFmt w:val="bullet"/>
      <w:lvlText w:val=""/>
      <w:lvlJc w:val="left"/>
      <w:pPr>
        <w:ind w:left="2880" w:hanging="360"/>
      </w:pPr>
      <w:rPr>
        <w:rFonts w:ascii="Symbol" w:hAnsi="Symbol" w:hint="default"/>
      </w:rPr>
    </w:lvl>
    <w:lvl w:ilvl="4" w:tplc="3C8080C0">
      <w:start w:val="1"/>
      <w:numFmt w:val="bullet"/>
      <w:lvlText w:val="o"/>
      <w:lvlJc w:val="left"/>
      <w:pPr>
        <w:ind w:left="3600" w:hanging="360"/>
      </w:pPr>
      <w:rPr>
        <w:rFonts w:ascii="Courier New" w:hAnsi="Courier New" w:hint="default"/>
      </w:rPr>
    </w:lvl>
    <w:lvl w:ilvl="5" w:tplc="D6C49CB2">
      <w:start w:val="1"/>
      <w:numFmt w:val="bullet"/>
      <w:lvlText w:val=""/>
      <w:lvlJc w:val="left"/>
      <w:pPr>
        <w:ind w:left="4320" w:hanging="360"/>
      </w:pPr>
      <w:rPr>
        <w:rFonts w:ascii="Wingdings" w:hAnsi="Wingdings" w:hint="default"/>
      </w:rPr>
    </w:lvl>
    <w:lvl w:ilvl="6" w:tplc="DFA65FE6">
      <w:start w:val="1"/>
      <w:numFmt w:val="bullet"/>
      <w:lvlText w:val=""/>
      <w:lvlJc w:val="left"/>
      <w:pPr>
        <w:ind w:left="5040" w:hanging="360"/>
      </w:pPr>
      <w:rPr>
        <w:rFonts w:ascii="Symbol" w:hAnsi="Symbol" w:hint="default"/>
      </w:rPr>
    </w:lvl>
    <w:lvl w:ilvl="7" w:tplc="6DD63D64">
      <w:start w:val="1"/>
      <w:numFmt w:val="bullet"/>
      <w:lvlText w:val="o"/>
      <w:lvlJc w:val="left"/>
      <w:pPr>
        <w:ind w:left="5760" w:hanging="360"/>
      </w:pPr>
      <w:rPr>
        <w:rFonts w:ascii="Courier New" w:hAnsi="Courier New" w:hint="default"/>
      </w:rPr>
    </w:lvl>
    <w:lvl w:ilvl="8" w:tplc="95DA64BA">
      <w:start w:val="1"/>
      <w:numFmt w:val="bullet"/>
      <w:lvlText w:val=""/>
      <w:lvlJc w:val="left"/>
      <w:pPr>
        <w:ind w:left="6480" w:hanging="360"/>
      </w:pPr>
      <w:rPr>
        <w:rFonts w:ascii="Wingdings" w:hAnsi="Wingdings" w:hint="default"/>
      </w:rPr>
    </w:lvl>
  </w:abstractNum>
  <w:abstractNum w:abstractNumId="8" w15:restartNumberingAfterBreak="0">
    <w:nsid w:val="6DFF2034"/>
    <w:multiLevelType w:val="hybridMultilevel"/>
    <w:tmpl w:val="FFFFFFFF"/>
    <w:lvl w:ilvl="0" w:tplc="53565CB8">
      <w:start w:val="1"/>
      <w:numFmt w:val="bullet"/>
      <w:lvlText w:val=""/>
      <w:lvlJc w:val="left"/>
      <w:pPr>
        <w:ind w:left="720" w:hanging="360"/>
      </w:pPr>
      <w:rPr>
        <w:rFonts w:ascii="Symbol" w:hAnsi="Symbol" w:hint="default"/>
      </w:rPr>
    </w:lvl>
    <w:lvl w:ilvl="1" w:tplc="834C635C">
      <w:start w:val="1"/>
      <w:numFmt w:val="bullet"/>
      <w:lvlText w:val="o"/>
      <w:lvlJc w:val="left"/>
      <w:pPr>
        <w:ind w:left="1440" w:hanging="360"/>
      </w:pPr>
      <w:rPr>
        <w:rFonts w:ascii="Courier New" w:hAnsi="Courier New" w:hint="default"/>
      </w:rPr>
    </w:lvl>
    <w:lvl w:ilvl="2" w:tplc="53D6CF94">
      <w:start w:val="1"/>
      <w:numFmt w:val="bullet"/>
      <w:lvlText w:val=""/>
      <w:lvlJc w:val="left"/>
      <w:pPr>
        <w:ind w:left="2160" w:hanging="360"/>
      </w:pPr>
      <w:rPr>
        <w:rFonts w:ascii="Wingdings" w:hAnsi="Wingdings" w:hint="default"/>
      </w:rPr>
    </w:lvl>
    <w:lvl w:ilvl="3" w:tplc="15583688">
      <w:start w:val="1"/>
      <w:numFmt w:val="bullet"/>
      <w:lvlText w:val=""/>
      <w:lvlJc w:val="left"/>
      <w:pPr>
        <w:ind w:left="2880" w:hanging="360"/>
      </w:pPr>
      <w:rPr>
        <w:rFonts w:ascii="Symbol" w:hAnsi="Symbol" w:hint="default"/>
      </w:rPr>
    </w:lvl>
    <w:lvl w:ilvl="4" w:tplc="67E8ACEA">
      <w:start w:val="1"/>
      <w:numFmt w:val="bullet"/>
      <w:lvlText w:val="o"/>
      <w:lvlJc w:val="left"/>
      <w:pPr>
        <w:ind w:left="3600" w:hanging="360"/>
      </w:pPr>
      <w:rPr>
        <w:rFonts w:ascii="Courier New" w:hAnsi="Courier New" w:hint="default"/>
      </w:rPr>
    </w:lvl>
    <w:lvl w:ilvl="5" w:tplc="3E767E22">
      <w:start w:val="1"/>
      <w:numFmt w:val="bullet"/>
      <w:lvlText w:val=""/>
      <w:lvlJc w:val="left"/>
      <w:pPr>
        <w:ind w:left="4320" w:hanging="360"/>
      </w:pPr>
      <w:rPr>
        <w:rFonts w:ascii="Wingdings" w:hAnsi="Wingdings" w:hint="default"/>
      </w:rPr>
    </w:lvl>
    <w:lvl w:ilvl="6" w:tplc="6FDE1F72">
      <w:start w:val="1"/>
      <w:numFmt w:val="bullet"/>
      <w:lvlText w:val=""/>
      <w:lvlJc w:val="left"/>
      <w:pPr>
        <w:ind w:left="5040" w:hanging="360"/>
      </w:pPr>
      <w:rPr>
        <w:rFonts w:ascii="Symbol" w:hAnsi="Symbol" w:hint="default"/>
      </w:rPr>
    </w:lvl>
    <w:lvl w:ilvl="7" w:tplc="AD7E5536">
      <w:start w:val="1"/>
      <w:numFmt w:val="bullet"/>
      <w:lvlText w:val="o"/>
      <w:lvlJc w:val="left"/>
      <w:pPr>
        <w:ind w:left="5760" w:hanging="360"/>
      </w:pPr>
      <w:rPr>
        <w:rFonts w:ascii="Courier New" w:hAnsi="Courier New" w:hint="default"/>
      </w:rPr>
    </w:lvl>
    <w:lvl w:ilvl="8" w:tplc="7E109B12">
      <w:start w:val="1"/>
      <w:numFmt w:val="bullet"/>
      <w:lvlText w:val=""/>
      <w:lvlJc w:val="left"/>
      <w:pPr>
        <w:ind w:left="6480" w:hanging="360"/>
      </w:pPr>
      <w:rPr>
        <w:rFonts w:ascii="Wingdings" w:hAnsi="Wingdings" w:hint="default"/>
      </w:rPr>
    </w:lvl>
  </w:abstractNum>
  <w:abstractNum w:abstractNumId="9" w15:restartNumberingAfterBreak="0">
    <w:nsid w:val="70A8FB3F"/>
    <w:multiLevelType w:val="hybridMultilevel"/>
    <w:tmpl w:val="8898B17E"/>
    <w:lvl w:ilvl="0" w:tplc="BDFCDE66">
      <w:start w:val="1"/>
      <w:numFmt w:val="bullet"/>
      <w:lvlText w:val=""/>
      <w:lvlJc w:val="left"/>
      <w:pPr>
        <w:ind w:left="720" w:hanging="360"/>
      </w:pPr>
      <w:rPr>
        <w:rFonts w:ascii="Symbol" w:hAnsi="Symbol" w:hint="default"/>
      </w:rPr>
    </w:lvl>
    <w:lvl w:ilvl="1" w:tplc="8A1E3B12">
      <w:start w:val="1"/>
      <w:numFmt w:val="bullet"/>
      <w:lvlText w:val="o"/>
      <w:lvlJc w:val="left"/>
      <w:pPr>
        <w:ind w:left="1440" w:hanging="360"/>
      </w:pPr>
      <w:rPr>
        <w:rFonts w:ascii="Courier New" w:hAnsi="Courier New" w:hint="default"/>
      </w:rPr>
    </w:lvl>
    <w:lvl w:ilvl="2" w:tplc="96E42532">
      <w:start w:val="1"/>
      <w:numFmt w:val="bullet"/>
      <w:lvlText w:val=""/>
      <w:lvlJc w:val="left"/>
      <w:pPr>
        <w:ind w:left="2160" w:hanging="360"/>
      </w:pPr>
      <w:rPr>
        <w:rFonts w:ascii="Wingdings" w:hAnsi="Wingdings" w:hint="default"/>
      </w:rPr>
    </w:lvl>
    <w:lvl w:ilvl="3" w:tplc="71E856EC">
      <w:start w:val="1"/>
      <w:numFmt w:val="bullet"/>
      <w:lvlText w:val=""/>
      <w:lvlJc w:val="left"/>
      <w:pPr>
        <w:ind w:left="2880" w:hanging="360"/>
      </w:pPr>
      <w:rPr>
        <w:rFonts w:ascii="Symbol" w:hAnsi="Symbol" w:hint="default"/>
      </w:rPr>
    </w:lvl>
    <w:lvl w:ilvl="4" w:tplc="2CB461FE">
      <w:start w:val="1"/>
      <w:numFmt w:val="bullet"/>
      <w:lvlText w:val="o"/>
      <w:lvlJc w:val="left"/>
      <w:pPr>
        <w:ind w:left="3600" w:hanging="360"/>
      </w:pPr>
      <w:rPr>
        <w:rFonts w:ascii="Courier New" w:hAnsi="Courier New" w:hint="default"/>
      </w:rPr>
    </w:lvl>
    <w:lvl w:ilvl="5" w:tplc="A6AE0C54">
      <w:start w:val="1"/>
      <w:numFmt w:val="bullet"/>
      <w:lvlText w:val=""/>
      <w:lvlJc w:val="left"/>
      <w:pPr>
        <w:ind w:left="4320" w:hanging="360"/>
      </w:pPr>
      <w:rPr>
        <w:rFonts w:ascii="Wingdings" w:hAnsi="Wingdings" w:hint="default"/>
      </w:rPr>
    </w:lvl>
    <w:lvl w:ilvl="6" w:tplc="2EF6F0C2">
      <w:start w:val="1"/>
      <w:numFmt w:val="bullet"/>
      <w:lvlText w:val=""/>
      <w:lvlJc w:val="left"/>
      <w:pPr>
        <w:ind w:left="5040" w:hanging="360"/>
      </w:pPr>
      <w:rPr>
        <w:rFonts w:ascii="Symbol" w:hAnsi="Symbol" w:hint="default"/>
      </w:rPr>
    </w:lvl>
    <w:lvl w:ilvl="7" w:tplc="062E5416">
      <w:start w:val="1"/>
      <w:numFmt w:val="bullet"/>
      <w:lvlText w:val="o"/>
      <w:lvlJc w:val="left"/>
      <w:pPr>
        <w:ind w:left="5760" w:hanging="360"/>
      </w:pPr>
      <w:rPr>
        <w:rFonts w:ascii="Courier New" w:hAnsi="Courier New" w:hint="default"/>
      </w:rPr>
    </w:lvl>
    <w:lvl w:ilvl="8" w:tplc="581C92A4">
      <w:start w:val="1"/>
      <w:numFmt w:val="bullet"/>
      <w:lvlText w:val=""/>
      <w:lvlJc w:val="left"/>
      <w:pPr>
        <w:ind w:left="6480" w:hanging="360"/>
      </w:pPr>
      <w:rPr>
        <w:rFonts w:ascii="Wingdings" w:hAnsi="Wingdings" w:hint="default"/>
      </w:rPr>
    </w:lvl>
  </w:abstractNum>
  <w:abstractNum w:abstractNumId="10" w15:restartNumberingAfterBreak="0">
    <w:nsid w:val="75CC67D0"/>
    <w:multiLevelType w:val="hybridMultilevel"/>
    <w:tmpl w:val="7C52DEFC"/>
    <w:lvl w:ilvl="0" w:tplc="EDC667E6">
      <w:start w:val="1"/>
      <w:numFmt w:val="bullet"/>
      <w:lvlText w:val=""/>
      <w:lvlJc w:val="left"/>
      <w:pPr>
        <w:ind w:left="720" w:hanging="360"/>
      </w:pPr>
      <w:rPr>
        <w:rFonts w:ascii="Symbol" w:hAnsi="Symbol" w:hint="default"/>
      </w:rPr>
    </w:lvl>
    <w:lvl w:ilvl="1" w:tplc="6BF0589C">
      <w:start w:val="1"/>
      <w:numFmt w:val="bullet"/>
      <w:lvlText w:val="o"/>
      <w:lvlJc w:val="left"/>
      <w:pPr>
        <w:ind w:left="1440" w:hanging="360"/>
      </w:pPr>
      <w:rPr>
        <w:rFonts w:ascii="Courier New" w:hAnsi="Courier New" w:hint="default"/>
      </w:rPr>
    </w:lvl>
    <w:lvl w:ilvl="2" w:tplc="F16A0716">
      <w:start w:val="1"/>
      <w:numFmt w:val="bullet"/>
      <w:lvlText w:val=""/>
      <w:lvlJc w:val="left"/>
      <w:pPr>
        <w:ind w:left="2160" w:hanging="360"/>
      </w:pPr>
      <w:rPr>
        <w:rFonts w:ascii="Wingdings" w:hAnsi="Wingdings" w:hint="default"/>
      </w:rPr>
    </w:lvl>
    <w:lvl w:ilvl="3" w:tplc="2084DBFC">
      <w:start w:val="1"/>
      <w:numFmt w:val="bullet"/>
      <w:lvlText w:val=""/>
      <w:lvlJc w:val="left"/>
      <w:pPr>
        <w:ind w:left="2880" w:hanging="360"/>
      </w:pPr>
      <w:rPr>
        <w:rFonts w:ascii="Symbol" w:hAnsi="Symbol" w:hint="default"/>
      </w:rPr>
    </w:lvl>
    <w:lvl w:ilvl="4" w:tplc="F3AE1F66">
      <w:start w:val="1"/>
      <w:numFmt w:val="bullet"/>
      <w:lvlText w:val="o"/>
      <w:lvlJc w:val="left"/>
      <w:pPr>
        <w:ind w:left="3600" w:hanging="360"/>
      </w:pPr>
      <w:rPr>
        <w:rFonts w:ascii="Courier New" w:hAnsi="Courier New" w:hint="default"/>
      </w:rPr>
    </w:lvl>
    <w:lvl w:ilvl="5" w:tplc="0F86E58E">
      <w:start w:val="1"/>
      <w:numFmt w:val="bullet"/>
      <w:lvlText w:val=""/>
      <w:lvlJc w:val="left"/>
      <w:pPr>
        <w:ind w:left="4320" w:hanging="360"/>
      </w:pPr>
      <w:rPr>
        <w:rFonts w:ascii="Wingdings" w:hAnsi="Wingdings" w:hint="default"/>
      </w:rPr>
    </w:lvl>
    <w:lvl w:ilvl="6" w:tplc="F6860ECA">
      <w:start w:val="1"/>
      <w:numFmt w:val="bullet"/>
      <w:lvlText w:val=""/>
      <w:lvlJc w:val="left"/>
      <w:pPr>
        <w:ind w:left="5040" w:hanging="360"/>
      </w:pPr>
      <w:rPr>
        <w:rFonts w:ascii="Symbol" w:hAnsi="Symbol" w:hint="default"/>
      </w:rPr>
    </w:lvl>
    <w:lvl w:ilvl="7" w:tplc="A7D87C1E">
      <w:start w:val="1"/>
      <w:numFmt w:val="bullet"/>
      <w:lvlText w:val="o"/>
      <w:lvlJc w:val="left"/>
      <w:pPr>
        <w:ind w:left="5760" w:hanging="360"/>
      </w:pPr>
      <w:rPr>
        <w:rFonts w:ascii="Courier New" w:hAnsi="Courier New" w:hint="default"/>
      </w:rPr>
    </w:lvl>
    <w:lvl w:ilvl="8" w:tplc="0A0CD4DA">
      <w:start w:val="1"/>
      <w:numFmt w:val="bullet"/>
      <w:lvlText w:val=""/>
      <w:lvlJc w:val="left"/>
      <w:pPr>
        <w:ind w:left="6480" w:hanging="360"/>
      </w:pPr>
      <w:rPr>
        <w:rFonts w:ascii="Wingdings" w:hAnsi="Wingdings" w:hint="default"/>
      </w:rPr>
    </w:lvl>
  </w:abstractNum>
  <w:abstractNum w:abstractNumId="11" w15:restartNumberingAfterBreak="0">
    <w:nsid w:val="79A22176"/>
    <w:multiLevelType w:val="hybridMultilevel"/>
    <w:tmpl w:val="FFFFFFFF"/>
    <w:lvl w:ilvl="0" w:tplc="C5DADE20">
      <w:start w:val="1"/>
      <w:numFmt w:val="decimal"/>
      <w:lvlText w:val="%1."/>
      <w:lvlJc w:val="left"/>
      <w:pPr>
        <w:ind w:left="360" w:hanging="360"/>
      </w:pPr>
    </w:lvl>
    <w:lvl w:ilvl="1" w:tplc="31DE9016">
      <w:start w:val="1"/>
      <w:numFmt w:val="lowerLetter"/>
      <w:lvlText w:val="%2."/>
      <w:lvlJc w:val="left"/>
      <w:pPr>
        <w:ind w:left="1080" w:hanging="360"/>
      </w:pPr>
    </w:lvl>
    <w:lvl w:ilvl="2" w:tplc="06C644BE">
      <w:start w:val="1"/>
      <w:numFmt w:val="lowerRoman"/>
      <w:lvlText w:val="%3."/>
      <w:lvlJc w:val="right"/>
      <w:pPr>
        <w:ind w:left="1800" w:hanging="180"/>
      </w:pPr>
    </w:lvl>
    <w:lvl w:ilvl="3" w:tplc="A95EEA30">
      <w:start w:val="1"/>
      <w:numFmt w:val="decimal"/>
      <w:lvlText w:val="%4."/>
      <w:lvlJc w:val="left"/>
      <w:pPr>
        <w:ind w:left="2520" w:hanging="360"/>
      </w:pPr>
    </w:lvl>
    <w:lvl w:ilvl="4" w:tplc="DF241DCA">
      <w:start w:val="1"/>
      <w:numFmt w:val="lowerLetter"/>
      <w:lvlText w:val="%5."/>
      <w:lvlJc w:val="left"/>
      <w:pPr>
        <w:ind w:left="3240" w:hanging="360"/>
      </w:pPr>
    </w:lvl>
    <w:lvl w:ilvl="5" w:tplc="3AEE1774">
      <w:start w:val="1"/>
      <w:numFmt w:val="lowerRoman"/>
      <w:lvlText w:val="%6."/>
      <w:lvlJc w:val="right"/>
      <w:pPr>
        <w:ind w:left="3960" w:hanging="180"/>
      </w:pPr>
    </w:lvl>
    <w:lvl w:ilvl="6" w:tplc="0BEA6EFE">
      <w:start w:val="1"/>
      <w:numFmt w:val="decimal"/>
      <w:lvlText w:val="%7."/>
      <w:lvlJc w:val="left"/>
      <w:pPr>
        <w:ind w:left="4680" w:hanging="360"/>
      </w:pPr>
    </w:lvl>
    <w:lvl w:ilvl="7" w:tplc="75E8A65A">
      <w:start w:val="1"/>
      <w:numFmt w:val="lowerLetter"/>
      <w:lvlText w:val="%8."/>
      <w:lvlJc w:val="left"/>
      <w:pPr>
        <w:ind w:left="5400" w:hanging="360"/>
      </w:pPr>
    </w:lvl>
    <w:lvl w:ilvl="8" w:tplc="471EDAA6">
      <w:start w:val="1"/>
      <w:numFmt w:val="lowerRoman"/>
      <w:lvlText w:val="%9."/>
      <w:lvlJc w:val="right"/>
      <w:pPr>
        <w:ind w:left="6120" w:hanging="180"/>
      </w:pPr>
    </w:lvl>
  </w:abstractNum>
  <w:abstractNum w:abstractNumId="12" w15:restartNumberingAfterBreak="0">
    <w:nsid w:val="7D090C23"/>
    <w:multiLevelType w:val="hybridMultilevel"/>
    <w:tmpl w:val="FFFFFFFF"/>
    <w:lvl w:ilvl="0" w:tplc="B890EB6A">
      <w:start w:val="1"/>
      <w:numFmt w:val="decimal"/>
      <w:lvlText w:val="%1."/>
      <w:lvlJc w:val="left"/>
      <w:pPr>
        <w:ind w:left="360" w:hanging="360"/>
      </w:pPr>
    </w:lvl>
    <w:lvl w:ilvl="1" w:tplc="F6B40E42">
      <w:start w:val="1"/>
      <w:numFmt w:val="lowerLetter"/>
      <w:lvlText w:val="%2."/>
      <w:lvlJc w:val="left"/>
      <w:pPr>
        <w:ind w:left="1080" w:hanging="360"/>
      </w:pPr>
    </w:lvl>
    <w:lvl w:ilvl="2" w:tplc="7AD84C54">
      <w:start w:val="1"/>
      <w:numFmt w:val="lowerRoman"/>
      <w:lvlText w:val="%3."/>
      <w:lvlJc w:val="right"/>
      <w:pPr>
        <w:ind w:left="1800" w:hanging="180"/>
      </w:pPr>
    </w:lvl>
    <w:lvl w:ilvl="3" w:tplc="7F848B34">
      <w:start w:val="1"/>
      <w:numFmt w:val="decimal"/>
      <w:lvlText w:val="%4."/>
      <w:lvlJc w:val="left"/>
      <w:pPr>
        <w:ind w:left="2520" w:hanging="360"/>
      </w:pPr>
    </w:lvl>
    <w:lvl w:ilvl="4" w:tplc="BFDE3A00">
      <w:start w:val="1"/>
      <w:numFmt w:val="lowerLetter"/>
      <w:lvlText w:val="%5."/>
      <w:lvlJc w:val="left"/>
      <w:pPr>
        <w:ind w:left="3240" w:hanging="360"/>
      </w:pPr>
    </w:lvl>
    <w:lvl w:ilvl="5" w:tplc="98A457DC">
      <w:start w:val="1"/>
      <w:numFmt w:val="lowerRoman"/>
      <w:lvlText w:val="%6."/>
      <w:lvlJc w:val="right"/>
      <w:pPr>
        <w:ind w:left="3960" w:hanging="180"/>
      </w:pPr>
    </w:lvl>
    <w:lvl w:ilvl="6" w:tplc="E6D291C8">
      <w:start w:val="1"/>
      <w:numFmt w:val="decimal"/>
      <w:lvlText w:val="%7."/>
      <w:lvlJc w:val="left"/>
      <w:pPr>
        <w:ind w:left="4680" w:hanging="360"/>
      </w:pPr>
    </w:lvl>
    <w:lvl w:ilvl="7" w:tplc="4E801CA2">
      <w:start w:val="1"/>
      <w:numFmt w:val="lowerLetter"/>
      <w:lvlText w:val="%8."/>
      <w:lvlJc w:val="left"/>
      <w:pPr>
        <w:ind w:left="5400" w:hanging="360"/>
      </w:pPr>
    </w:lvl>
    <w:lvl w:ilvl="8" w:tplc="B964E08A">
      <w:start w:val="1"/>
      <w:numFmt w:val="lowerRoman"/>
      <w:lvlText w:val="%9."/>
      <w:lvlJc w:val="right"/>
      <w:pPr>
        <w:ind w:left="6120" w:hanging="180"/>
      </w:pPr>
    </w:lvl>
  </w:abstractNum>
  <w:abstractNum w:abstractNumId="13" w15:restartNumberingAfterBreak="0">
    <w:nsid w:val="7EA52475"/>
    <w:multiLevelType w:val="hybridMultilevel"/>
    <w:tmpl w:val="2FA660E4"/>
    <w:lvl w:ilvl="0" w:tplc="99222F02">
      <w:start w:val="1"/>
      <w:numFmt w:val="bullet"/>
      <w:lvlText w:val=""/>
      <w:lvlJc w:val="left"/>
      <w:pPr>
        <w:ind w:left="720" w:hanging="360"/>
      </w:pPr>
      <w:rPr>
        <w:rFonts w:ascii="Symbol" w:hAnsi="Symbol" w:hint="default"/>
      </w:rPr>
    </w:lvl>
    <w:lvl w:ilvl="1" w:tplc="DCDEB674">
      <w:start w:val="1"/>
      <w:numFmt w:val="bullet"/>
      <w:lvlText w:val="o"/>
      <w:lvlJc w:val="left"/>
      <w:pPr>
        <w:ind w:left="1440" w:hanging="360"/>
      </w:pPr>
      <w:rPr>
        <w:rFonts w:ascii="Courier New" w:hAnsi="Courier New" w:hint="default"/>
      </w:rPr>
    </w:lvl>
    <w:lvl w:ilvl="2" w:tplc="308E448A">
      <w:start w:val="1"/>
      <w:numFmt w:val="bullet"/>
      <w:lvlText w:val=""/>
      <w:lvlJc w:val="left"/>
      <w:pPr>
        <w:ind w:left="2160" w:hanging="360"/>
      </w:pPr>
      <w:rPr>
        <w:rFonts w:ascii="Wingdings" w:hAnsi="Wingdings" w:hint="default"/>
      </w:rPr>
    </w:lvl>
    <w:lvl w:ilvl="3" w:tplc="BCC6A316">
      <w:start w:val="1"/>
      <w:numFmt w:val="bullet"/>
      <w:lvlText w:val=""/>
      <w:lvlJc w:val="left"/>
      <w:pPr>
        <w:ind w:left="2880" w:hanging="360"/>
      </w:pPr>
      <w:rPr>
        <w:rFonts w:ascii="Symbol" w:hAnsi="Symbol" w:hint="default"/>
      </w:rPr>
    </w:lvl>
    <w:lvl w:ilvl="4" w:tplc="18F4916E">
      <w:start w:val="1"/>
      <w:numFmt w:val="bullet"/>
      <w:lvlText w:val="o"/>
      <w:lvlJc w:val="left"/>
      <w:pPr>
        <w:ind w:left="3600" w:hanging="360"/>
      </w:pPr>
      <w:rPr>
        <w:rFonts w:ascii="Courier New" w:hAnsi="Courier New" w:hint="default"/>
      </w:rPr>
    </w:lvl>
    <w:lvl w:ilvl="5" w:tplc="970E6F08">
      <w:start w:val="1"/>
      <w:numFmt w:val="bullet"/>
      <w:lvlText w:val=""/>
      <w:lvlJc w:val="left"/>
      <w:pPr>
        <w:ind w:left="4320" w:hanging="360"/>
      </w:pPr>
      <w:rPr>
        <w:rFonts w:ascii="Wingdings" w:hAnsi="Wingdings" w:hint="default"/>
      </w:rPr>
    </w:lvl>
    <w:lvl w:ilvl="6" w:tplc="10D62032">
      <w:start w:val="1"/>
      <w:numFmt w:val="bullet"/>
      <w:lvlText w:val=""/>
      <w:lvlJc w:val="left"/>
      <w:pPr>
        <w:ind w:left="5040" w:hanging="360"/>
      </w:pPr>
      <w:rPr>
        <w:rFonts w:ascii="Symbol" w:hAnsi="Symbol" w:hint="default"/>
      </w:rPr>
    </w:lvl>
    <w:lvl w:ilvl="7" w:tplc="7FD22B12">
      <w:start w:val="1"/>
      <w:numFmt w:val="bullet"/>
      <w:lvlText w:val="o"/>
      <w:lvlJc w:val="left"/>
      <w:pPr>
        <w:ind w:left="5760" w:hanging="360"/>
      </w:pPr>
      <w:rPr>
        <w:rFonts w:ascii="Courier New" w:hAnsi="Courier New" w:hint="default"/>
      </w:rPr>
    </w:lvl>
    <w:lvl w:ilvl="8" w:tplc="CE5424D6">
      <w:start w:val="1"/>
      <w:numFmt w:val="bullet"/>
      <w:lvlText w:val=""/>
      <w:lvlJc w:val="left"/>
      <w:pPr>
        <w:ind w:left="6480" w:hanging="360"/>
      </w:pPr>
      <w:rPr>
        <w:rFonts w:ascii="Wingdings" w:hAnsi="Wingdings" w:hint="default"/>
      </w:rPr>
    </w:lvl>
  </w:abstractNum>
  <w:num w:numId="1" w16cid:durableId="1407343780">
    <w:abstractNumId w:val="4"/>
  </w:num>
  <w:num w:numId="2" w16cid:durableId="257253605">
    <w:abstractNumId w:val="9"/>
  </w:num>
  <w:num w:numId="3" w16cid:durableId="525607600">
    <w:abstractNumId w:val="2"/>
  </w:num>
  <w:num w:numId="4" w16cid:durableId="415710398">
    <w:abstractNumId w:val="0"/>
  </w:num>
  <w:num w:numId="5" w16cid:durableId="369957005">
    <w:abstractNumId w:val="10"/>
  </w:num>
  <w:num w:numId="6" w16cid:durableId="138883221">
    <w:abstractNumId w:val="3"/>
  </w:num>
  <w:num w:numId="7" w16cid:durableId="678583614">
    <w:abstractNumId w:val="5"/>
  </w:num>
  <w:num w:numId="8" w16cid:durableId="993337415">
    <w:abstractNumId w:val="13"/>
  </w:num>
  <w:num w:numId="9" w16cid:durableId="1847399044">
    <w:abstractNumId w:val="1"/>
  </w:num>
  <w:num w:numId="10" w16cid:durableId="2045521192">
    <w:abstractNumId w:val="8"/>
  </w:num>
  <w:num w:numId="11" w16cid:durableId="1996448939">
    <w:abstractNumId w:val="11"/>
  </w:num>
  <w:num w:numId="12" w16cid:durableId="999385911">
    <w:abstractNumId w:val="7"/>
  </w:num>
  <w:num w:numId="13" w16cid:durableId="231046380">
    <w:abstractNumId w:val="6"/>
  </w:num>
  <w:num w:numId="14" w16cid:durableId="590161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69"/>
    <w:rsid w:val="00016A02"/>
    <w:rsid w:val="0002107A"/>
    <w:rsid w:val="000213F0"/>
    <w:rsid w:val="0003177C"/>
    <w:rsid w:val="00036585"/>
    <w:rsid w:val="00037B79"/>
    <w:rsid w:val="00042029"/>
    <w:rsid w:val="00047943"/>
    <w:rsid w:val="00053B21"/>
    <w:rsid w:val="00057006"/>
    <w:rsid w:val="00057DF0"/>
    <w:rsid w:val="000700A1"/>
    <w:rsid w:val="00073644"/>
    <w:rsid w:val="00073BA7"/>
    <w:rsid w:val="00082D9D"/>
    <w:rsid w:val="0008302D"/>
    <w:rsid w:val="00096372"/>
    <w:rsid w:val="000C0C71"/>
    <w:rsid w:val="000C224E"/>
    <w:rsid w:val="000D106B"/>
    <w:rsid w:val="000E5E25"/>
    <w:rsid w:val="0010295B"/>
    <w:rsid w:val="0010734B"/>
    <w:rsid w:val="00123D4E"/>
    <w:rsid w:val="00127529"/>
    <w:rsid w:val="0013378E"/>
    <w:rsid w:val="00133CB9"/>
    <w:rsid w:val="0014349F"/>
    <w:rsid w:val="00145880"/>
    <w:rsid w:val="0014717F"/>
    <w:rsid w:val="00166723"/>
    <w:rsid w:val="00172FC0"/>
    <w:rsid w:val="00177C7C"/>
    <w:rsid w:val="001D60E8"/>
    <w:rsid w:val="001F44DC"/>
    <w:rsid w:val="00211EF5"/>
    <w:rsid w:val="00267C51"/>
    <w:rsid w:val="0028772E"/>
    <w:rsid w:val="002C5193"/>
    <w:rsid w:val="002D5D78"/>
    <w:rsid w:val="002E31B0"/>
    <w:rsid w:val="002F1688"/>
    <w:rsid w:val="003039D5"/>
    <w:rsid w:val="00350371"/>
    <w:rsid w:val="00366E99"/>
    <w:rsid w:val="00372F62"/>
    <w:rsid w:val="00387155"/>
    <w:rsid w:val="003A47FD"/>
    <w:rsid w:val="003A4D55"/>
    <w:rsid w:val="003A67DA"/>
    <w:rsid w:val="003A6DB0"/>
    <w:rsid w:val="003B53DD"/>
    <w:rsid w:val="003C49C7"/>
    <w:rsid w:val="003C74EC"/>
    <w:rsid w:val="003D0127"/>
    <w:rsid w:val="003D1E4C"/>
    <w:rsid w:val="003D4615"/>
    <w:rsid w:val="003D702C"/>
    <w:rsid w:val="003E4A37"/>
    <w:rsid w:val="003F0FFD"/>
    <w:rsid w:val="003F25C2"/>
    <w:rsid w:val="00404624"/>
    <w:rsid w:val="00404EBC"/>
    <w:rsid w:val="00446A52"/>
    <w:rsid w:val="0045772D"/>
    <w:rsid w:val="004A28AB"/>
    <w:rsid w:val="004A5C0B"/>
    <w:rsid w:val="004B755D"/>
    <w:rsid w:val="004D231D"/>
    <w:rsid w:val="004D7C94"/>
    <w:rsid w:val="004E0884"/>
    <w:rsid w:val="004E193F"/>
    <w:rsid w:val="004E614C"/>
    <w:rsid w:val="005019D3"/>
    <w:rsid w:val="00501BDF"/>
    <w:rsid w:val="00504D46"/>
    <w:rsid w:val="005226C4"/>
    <w:rsid w:val="0052777E"/>
    <w:rsid w:val="00533DE5"/>
    <w:rsid w:val="00567D3D"/>
    <w:rsid w:val="00587DF0"/>
    <w:rsid w:val="00597C9F"/>
    <w:rsid w:val="005A6975"/>
    <w:rsid w:val="005B49CB"/>
    <w:rsid w:val="005D5956"/>
    <w:rsid w:val="005D6141"/>
    <w:rsid w:val="00601424"/>
    <w:rsid w:val="00615A14"/>
    <w:rsid w:val="00630086"/>
    <w:rsid w:val="00640225"/>
    <w:rsid w:val="00643D75"/>
    <w:rsid w:val="00652294"/>
    <w:rsid w:val="00676839"/>
    <w:rsid w:val="00692025"/>
    <w:rsid w:val="006A21DE"/>
    <w:rsid w:val="006A5453"/>
    <w:rsid w:val="006B1027"/>
    <w:rsid w:val="006B1A16"/>
    <w:rsid w:val="006B2DC1"/>
    <w:rsid w:val="006B700E"/>
    <w:rsid w:val="006E0368"/>
    <w:rsid w:val="00720033"/>
    <w:rsid w:val="00722771"/>
    <w:rsid w:val="007251E2"/>
    <w:rsid w:val="007276E5"/>
    <w:rsid w:val="00727AE9"/>
    <w:rsid w:val="00737535"/>
    <w:rsid w:val="00741A87"/>
    <w:rsid w:val="00744B8E"/>
    <w:rsid w:val="00776AB5"/>
    <w:rsid w:val="00781FE1"/>
    <w:rsid w:val="007929BE"/>
    <w:rsid w:val="007A5878"/>
    <w:rsid w:val="007A5AB8"/>
    <w:rsid w:val="007B2762"/>
    <w:rsid w:val="007B5E4C"/>
    <w:rsid w:val="007C3995"/>
    <w:rsid w:val="007D3CB6"/>
    <w:rsid w:val="007D4D9E"/>
    <w:rsid w:val="007F7D1D"/>
    <w:rsid w:val="00832DC4"/>
    <w:rsid w:val="00834DB9"/>
    <w:rsid w:val="00840F98"/>
    <w:rsid w:val="00867F52"/>
    <w:rsid w:val="00870860"/>
    <w:rsid w:val="008809C7"/>
    <w:rsid w:val="008D259F"/>
    <w:rsid w:val="008D2697"/>
    <w:rsid w:val="00903F28"/>
    <w:rsid w:val="009117A8"/>
    <w:rsid w:val="009356DA"/>
    <w:rsid w:val="009415B1"/>
    <w:rsid w:val="00954E66"/>
    <w:rsid w:val="009646F4"/>
    <w:rsid w:val="00965CCC"/>
    <w:rsid w:val="00971C9D"/>
    <w:rsid w:val="00972F07"/>
    <w:rsid w:val="00993AD1"/>
    <w:rsid w:val="009B7D57"/>
    <w:rsid w:val="009C3AF0"/>
    <w:rsid w:val="009D3D5E"/>
    <w:rsid w:val="009E1169"/>
    <w:rsid w:val="009E3D23"/>
    <w:rsid w:val="00A036EB"/>
    <w:rsid w:val="00A05F09"/>
    <w:rsid w:val="00A470E8"/>
    <w:rsid w:val="00A6759C"/>
    <w:rsid w:val="00A823E0"/>
    <w:rsid w:val="00A92D70"/>
    <w:rsid w:val="00A94FBE"/>
    <w:rsid w:val="00AA1FCF"/>
    <w:rsid w:val="00AA2D29"/>
    <w:rsid w:val="00AA4F36"/>
    <w:rsid w:val="00AB1317"/>
    <w:rsid w:val="00AB653F"/>
    <w:rsid w:val="00AC012D"/>
    <w:rsid w:val="00AC2339"/>
    <w:rsid w:val="00AF39DB"/>
    <w:rsid w:val="00B1080F"/>
    <w:rsid w:val="00B17CDB"/>
    <w:rsid w:val="00B41C25"/>
    <w:rsid w:val="00B6445C"/>
    <w:rsid w:val="00B71914"/>
    <w:rsid w:val="00B760D1"/>
    <w:rsid w:val="00BD60AF"/>
    <w:rsid w:val="00BE2A51"/>
    <w:rsid w:val="00BF2C82"/>
    <w:rsid w:val="00BF4CF5"/>
    <w:rsid w:val="00C02E48"/>
    <w:rsid w:val="00C17ABF"/>
    <w:rsid w:val="00C269D1"/>
    <w:rsid w:val="00C32B7B"/>
    <w:rsid w:val="00C335C3"/>
    <w:rsid w:val="00C42781"/>
    <w:rsid w:val="00C44EA1"/>
    <w:rsid w:val="00C5019D"/>
    <w:rsid w:val="00C53DC1"/>
    <w:rsid w:val="00C55A53"/>
    <w:rsid w:val="00C604C7"/>
    <w:rsid w:val="00C66B48"/>
    <w:rsid w:val="00C71D95"/>
    <w:rsid w:val="00C84867"/>
    <w:rsid w:val="00CA03FF"/>
    <w:rsid w:val="00CA27C9"/>
    <w:rsid w:val="00CA363D"/>
    <w:rsid w:val="00CB2FA4"/>
    <w:rsid w:val="00CB6A1D"/>
    <w:rsid w:val="00CC4B7A"/>
    <w:rsid w:val="00CC56BC"/>
    <w:rsid w:val="00CD25E4"/>
    <w:rsid w:val="00CF18A3"/>
    <w:rsid w:val="00D1267E"/>
    <w:rsid w:val="00D518FA"/>
    <w:rsid w:val="00D63E5A"/>
    <w:rsid w:val="00D65858"/>
    <w:rsid w:val="00D807D6"/>
    <w:rsid w:val="00DA349E"/>
    <w:rsid w:val="00DC4E0C"/>
    <w:rsid w:val="00DD0979"/>
    <w:rsid w:val="00DD4AD1"/>
    <w:rsid w:val="00DD52A5"/>
    <w:rsid w:val="00DD6726"/>
    <w:rsid w:val="00DE728E"/>
    <w:rsid w:val="00E02493"/>
    <w:rsid w:val="00E044A3"/>
    <w:rsid w:val="00E04909"/>
    <w:rsid w:val="00E428F0"/>
    <w:rsid w:val="00E46B28"/>
    <w:rsid w:val="00E730BE"/>
    <w:rsid w:val="00E73CCA"/>
    <w:rsid w:val="00E96342"/>
    <w:rsid w:val="00EA2DC3"/>
    <w:rsid w:val="00EB3415"/>
    <w:rsid w:val="00EC226A"/>
    <w:rsid w:val="00EE2BE2"/>
    <w:rsid w:val="00EE4F00"/>
    <w:rsid w:val="00EF38F3"/>
    <w:rsid w:val="00EF68A8"/>
    <w:rsid w:val="00F0797A"/>
    <w:rsid w:val="00F16B31"/>
    <w:rsid w:val="00F35E88"/>
    <w:rsid w:val="00F46074"/>
    <w:rsid w:val="00F711A9"/>
    <w:rsid w:val="00FA288E"/>
    <w:rsid w:val="00FB3EBF"/>
    <w:rsid w:val="00FD5A81"/>
    <w:rsid w:val="00FF1779"/>
    <w:rsid w:val="00FF4740"/>
    <w:rsid w:val="00FF5B7C"/>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3D4B4"/>
  <w15:chartTrackingRefBased/>
  <w15:docId w15:val="{56867CD3-996A-4A3E-95F4-0F5ED955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169"/>
    <w:pPr>
      <w:widowControl w:val="0"/>
      <w:spacing w:before="240" w:after="240" w:line="276"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9E1169"/>
    <w:pPr>
      <w:keepNext/>
      <w:jc w:val="center"/>
      <w:outlineLvl w:val="0"/>
    </w:pPr>
    <w:rPr>
      <w:b/>
      <w:sz w:val="40"/>
      <w:szCs w:val="40"/>
    </w:rPr>
  </w:style>
  <w:style w:type="paragraph" w:styleId="Heading2">
    <w:name w:val="heading 2"/>
    <w:basedOn w:val="Normal"/>
    <w:next w:val="Normal"/>
    <w:link w:val="Heading2Char"/>
    <w:uiPriority w:val="9"/>
    <w:unhideWhenUsed/>
    <w:qFormat/>
    <w:rsid w:val="009E1169"/>
    <w:pPr>
      <w:keepNext/>
      <w:outlineLvl w:val="1"/>
    </w:pPr>
    <w:rPr>
      <w:b/>
      <w:bCs/>
      <w:sz w:val="36"/>
      <w:szCs w:val="36"/>
    </w:rPr>
  </w:style>
  <w:style w:type="paragraph" w:styleId="Heading3">
    <w:name w:val="heading 3"/>
    <w:basedOn w:val="Normal"/>
    <w:next w:val="Normal"/>
    <w:link w:val="Heading3Char"/>
    <w:uiPriority w:val="9"/>
    <w:unhideWhenUsed/>
    <w:qFormat/>
    <w:rsid w:val="009E1169"/>
    <w:pPr>
      <w:keepNext/>
      <w:outlineLvl w:val="2"/>
    </w:pPr>
    <w:rPr>
      <w:b/>
      <w:sz w:val="32"/>
      <w:szCs w:val="32"/>
    </w:rPr>
  </w:style>
  <w:style w:type="paragraph" w:styleId="Heading4">
    <w:name w:val="heading 4"/>
    <w:basedOn w:val="Normal"/>
    <w:next w:val="Normal"/>
    <w:link w:val="Heading4Char"/>
    <w:uiPriority w:val="9"/>
    <w:unhideWhenUsed/>
    <w:qFormat/>
    <w:rsid w:val="009E1169"/>
    <w:pPr>
      <w:keepNext/>
      <w:outlineLvl w:val="3"/>
    </w:pPr>
    <w:rPr>
      <w:b/>
      <w:bCs/>
    </w:rPr>
  </w:style>
  <w:style w:type="paragraph" w:styleId="Heading5">
    <w:name w:val="heading 5"/>
    <w:basedOn w:val="Normal"/>
    <w:next w:val="Normal"/>
    <w:link w:val="Heading5Char"/>
    <w:uiPriority w:val="9"/>
    <w:unhideWhenUsed/>
    <w:qFormat/>
    <w:rsid w:val="009E11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169"/>
    <w:rPr>
      <w:rFonts w:ascii="Times New Roman" w:eastAsia="Times New Roman" w:hAnsi="Times New Roman" w:cs="Times New Roman"/>
      <w:b/>
      <w:sz w:val="40"/>
      <w:szCs w:val="40"/>
    </w:rPr>
  </w:style>
  <w:style w:type="character" w:customStyle="1" w:styleId="Heading2Char">
    <w:name w:val="Heading 2 Char"/>
    <w:basedOn w:val="DefaultParagraphFont"/>
    <w:link w:val="Heading2"/>
    <w:uiPriority w:val="9"/>
    <w:rsid w:val="009E11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169"/>
    <w:rPr>
      <w:rFonts w:ascii="Times New Roman" w:eastAsia="Times New Roman" w:hAnsi="Times New Roman" w:cs="Times New Roman"/>
      <w:b/>
      <w:sz w:val="32"/>
      <w:szCs w:val="32"/>
    </w:rPr>
  </w:style>
  <w:style w:type="character" w:customStyle="1" w:styleId="Heading4Char">
    <w:name w:val="Heading 4 Char"/>
    <w:basedOn w:val="DefaultParagraphFont"/>
    <w:link w:val="Heading4"/>
    <w:uiPriority w:val="9"/>
    <w:rsid w:val="009E116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9E1169"/>
    <w:rPr>
      <w:rFonts w:asciiTheme="majorHAnsi" w:eastAsiaTheme="majorEastAsia" w:hAnsiTheme="majorHAnsi" w:cstheme="majorBidi"/>
      <w:color w:val="2F5496" w:themeColor="accent1" w:themeShade="BF"/>
      <w:sz w:val="28"/>
      <w:szCs w:val="28"/>
    </w:rPr>
  </w:style>
  <w:style w:type="character" w:styleId="Hyperlink">
    <w:name w:val="Hyperlink"/>
    <w:basedOn w:val="DefaultParagraphFont"/>
    <w:uiPriority w:val="99"/>
    <w:unhideWhenUsed/>
    <w:rsid w:val="009E1169"/>
    <w:rPr>
      <w:rFonts w:ascii="Times New Roman" w:hAnsi="Times New Roman"/>
      <w:color w:val="0563C1" w:themeColor="hyperlink"/>
      <w:sz w:val="28"/>
      <w:u w:val="single"/>
    </w:rPr>
  </w:style>
  <w:style w:type="paragraph" w:styleId="BalloonText">
    <w:name w:val="Balloon Text"/>
    <w:basedOn w:val="Normal"/>
    <w:link w:val="BalloonTextChar"/>
    <w:uiPriority w:val="99"/>
    <w:unhideWhenUsed/>
    <w:rsid w:val="009E1169"/>
    <w:rPr>
      <w:rFonts w:ascii="Tahoma" w:hAnsi="Tahoma" w:cs="Tahoma"/>
      <w:sz w:val="24"/>
      <w:szCs w:val="16"/>
    </w:rPr>
  </w:style>
  <w:style w:type="character" w:customStyle="1" w:styleId="BalloonTextChar">
    <w:name w:val="Balloon Text Char"/>
    <w:basedOn w:val="DefaultParagraphFont"/>
    <w:link w:val="BalloonText"/>
    <w:uiPriority w:val="99"/>
    <w:rsid w:val="009E1169"/>
    <w:rPr>
      <w:rFonts w:ascii="Tahoma" w:eastAsia="Times New Roman" w:hAnsi="Tahoma" w:cs="Tahoma"/>
      <w:sz w:val="24"/>
      <w:szCs w:val="16"/>
    </w:rPr>
  </w:style>
  <w:style w:type="character" w:styleId="CommentReference">
    <w:name w:val="annotation reference"/>
    <w:basedOn w:val="DefaultParagraphFont"/>
    <w:uiPriority w:val="99"/>
    <w:unhideWhenUsed/>
    <w:rsid w:val="009E1169"/>
    <w:rPr>
      <w:sz w:val="16"/>
      <w:szCs w:val="16"/>
    </w:rPr>
  </w:style>
  <w:style w:type="paragraph" w:styleId="CommentText">
    <w:name w:val="annotation text"/>
    <w:basedOn w:val="Normal"/>
    <w:link w:val="CommentTextChar"/>
    <w:uiPriority w:val="99"/>
    <w:unhideWhenUsed/>
    <w:rsid w:val="009E1169"/>
    <w:rPr>
      <w:sz w:val="20"/>
      <w:szCs w:val="20"/>
    </w:rPr>
  </w:style>
  <w:style w:type="character" w:customStyle="1" w:styleId="CommentTextChar">
    <w:name w:val="Comment Text Char"/>
    <w:basedOn w:val="DefaultParagraphFont"/>
    <w:link w:val="CommentText"/>
    <w:uiPriority w:val="99"/>
    <w:rsid w:val="009E11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169"/>
    <w:rPr>
      <w:b/>
      <w:bCs/>
    </w:rPr>
  </w:style>
  <w:style w:type="character" w:customStyle="1" w:styleId="CommentSubjectChar">
    <w:name w:val="Comment Subject Char"/>
    <w:basedOn w:val="CommentTextChar"/>
    <w:link w:val="CommentSubject"/>
    <w:uiPriority w:val="99"/>
    <w:semiHidden/>
    <w:rsid w:val="009E1169"/>
    <w:rPr>
      <w:rFonts w:ascii="Times New Roman" w:eastAsia="Times New Roman" w:hAnsi="Times New Roman" w:cs="Times New Roman"/>
      <w:b/>
      <w:bCs/>
      <w:sz w:val="20"/>
      <w:szCs w:val="20"/>
    </w:rPr>
  </w:style>
  <w:style w:type="paragraph" w:styleId="Revision">
    <w:name w:val="Revision"/>
    <w:hidden/>
    <w:uiPriority w:val="99"/>
    <w:semiHidden/>
    <w:rsid w:val="009E1169"/>
    <w:pPr>
      <w:spacing w:after="0" w:line="240" w:lineRule="auto"/>
    </w:pPr>
    <w:rPr>
      <w:rFonts w:eastAsiaTheme="minorEastAsia"/>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stil3"/>
    <w:basedOn w:val="Normal"/>
    <w:link w:val="ListParagraphChar"/>
    <w:uiPriority w:val="34"/>
    <w:qFormat/>
    <w:rsid w:val="009E1169"/>
    <w:pPr>
      <w:ind w:left="720"/>
      <w:contextualSpacing/>
    </w:pPr>
    <w:rPr>
      <w:rFonts w:ascii="Calibri" w:eastAsia="Calibri" w:hAnsi="Calibri" w:cs="Calibri"/>
    </w:rPr>
  </w:style>
  <w:style w:type="character" w:customStyle="1" w:styleId="hps">
    <w:name w:val="hps"/>
    <w:basedOn w:val="DefaultParagraphFont"/>
    <w:rsid w:val="009E1169"/>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basedOn w:val="DefaultParagraphFont"/>
    <w:link w:val="ListParagraph"/>
    <w:uiPriority w:val="34"/>
    <w:qFormat/>
    <w:locked/>
    <w:rsid w:val="009E1169"/>
    <w:rPr>
      <w:rFonts w:ascii="Calibri" w:eastAsia="Calibri" w:hAnsi="Calibri" w:cs="Calibri"/>
      <w:sz w:val="28"/>
      <w:szCs w:val="28"/>
    </w:rPr>
  </w:style>
  <w:style w:type="paragraph" w:customStyle="1" w:styleId="ConvertStyle25">
    <w:name w:val="ConvertStyle25"/>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styleId="BodyTextIndent">
    <w:name w:val="Body Text Indent"/>
    <w:basedOn w:val="Normal"/>
    <w:link w:val="BodyTextIndentChar"/>
    <w:uiPriority w:val="99"/>
    <w:rsid w:val="009E1169"/>
    <w:pPr>
      <w:ind w:left="360"/>
    </w:pPr>
    <w:rPr>
      <w:sz w:val="24"/>
      <w:szCs w:val="20"/>
    </w:rPr>
  </w:style>
  <w:style w:type="character" w:customStyle="1" w:styleId="BodyTextIndentChar">
    <w:name w:val="Body Text Indent Char"/>
    <w:basedOn w:val="DefaultParagraphFont"/>
    <w:link w:val="BodyTextIndent"/>
    <w:uiPriority w:val="99"/>
    <w:rsid w:val="009E1169"/>
    <w:rPr>
      <w:rFonts w:ascii="Times New Roman" w:eastAsia="Times New Roman" w:hAnsi="Times New Roman" w:cs="Times New Roman"/>
      <w:sz w:val="24"/>
      <w:szCs w:val="20"/>
    </w:rPr>
  </w:style>
  <w:style w:type="paragraph" w:styleId="NoSpacing">
    <w:name w:val="No Spacing"/>
    <w:link w:val="NoSpacingChar"/>
    <w:uiPriority w:val="1"/>
    <w:qFormat/>
    <w:rsid w:val="009E1169"/>
    <w:pPr>
      <w:spacing w:after="0" w:line="240" w:lineRule="auto"/>
    </w:pPr>
  </w:style>
  <w:style w:type="paragraph" w:customStyle="1" w:styleId="ConvertStyle27">
    <w:name w:val="ConvertStyle27"/>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28">
    <w:name w:val="ConvertStyle28"/>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31">
    <w:name w:val="ConvertStyle31"/>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29">
    <w:name w:val="ConvertStyle29"/>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30">
    <w:name w:val="ConvertStyle30"/>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38">
    <w:name w:val="ConvertStyle38"/>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40">
    <w:name w:val="ConvertStyle40"/>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43">
    <w:name w:val="ConvertStyle43"/>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ConvertStyle44">
    <w:name w:val="ConvertStyle44"/>
    <w:basedOn w:val="Normal"/>
    <w:uiPriority w:val="99"/>
    <w:rsid w:val="009E1169"/>
    <w:pPr>
      <w:tabs>
        <w:tab w:val="left" w:pos="576"/>
        <w:tab w:val="left" w:pos="1296"/>
        <w:tab w:val="left" w:pos="2016"/>
        <w:tab w:val="left" w:pos="6048"/>
      </w:tabs>
      <w:ind w:right="-720"/>
    </w:pPr>
    <w:rPr>
      <w:rFonts w:ascii="Courier New" w:hAnsi="Courier New"/>
      <w:sz w:val="24"/>
      <w:szCs w:val="20"/>
    </w:rPr>
  </w:style>
  <w:style w:type="paragraph" w:customStyle="1" w:styleId="Default">
    <w:name w:val="Default"/>
    <w:uiPriority w:val="99"/>
    <w:rsid w:val="009E116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9E1169"/>
    <w:rPr>
      <w:color w:val="954F72" w:themeColor="followedHyperlink"/>
      <w:u w:val="single"/>
    </w:rPr>
  </w:style>
  <w:style w:type="paragraph" w:styleId="Header">
    <w:name w:val="header"/>
    <w:basedOn w:val="Normal"/>
    <w:link w:val="HeaderChar"/>
    <w:uiPriority w:val="99"/>
    <w:unhideWhenUsed/>
    <w:rsid w:val="009E1169"/>
    <w:pPr>
      <w:tabs>
        <w:tab w:val="center" w:pos="4680"/>
        <w:tab w:val="right" w:pos="9360"/>
      </w:tabs>
    </w:pPr>
  </w:style>
  <w:style w:type="character" w:customStyle="1" w:styleId="HeaderChar">
    <w:name w:val="Header Char"/>
    <w:basedOn w:val="DefaultParagraphFont"/>
    <w:link w:val="Header"/>
    <w:uiPriority w:val="99"/>
    <w:rsid w:val="009E1169"/>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E1169"/>
    <w:pPr>
      <w:tabs>
        <w:tab w:val="center" w:pos="4680"/>
        <w:tab w:val="right" w:pos="9360"/>
      </w:tabs>
    </w:pPr>
  </w:style>
  <w:style w:type="character" w:customStyle="1" w:styleId="FooterChar">
    <w:name w:val="Footer Char"/>
    <w:basedOn w:val="DefaultParagraphFont"/>
    <w:link w:val="Footer"/>
    <w:uiPriority w:val="99"/>
    <w:rsid w:val="009E1169"/>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9E116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E1169"/>
    <w:rPr>
      <w:rFonts w:ascii="Calibri" w:hAnsi="Calibri" w:cs="Consolas"/>
      <w:szCs w:val="21"/>
    </w:rPr>
  </w:style>
  <w:style w:type="character" w:customStyle="1" w:styleId="apple-converted-space">
    <w:name w:val="apple-converted-space"/>
    <w:basedOn w:val="DefaultParagraphFont"/>
    <w:rsid w:val="009E1169"/>
  </w:style>
  <w:style w:type="paragraph" w:styleId="EndnoteText">
    <w:name w:val="endnote text"/>
    <w:basedOn w:val="Normal"/>
    <w:link w:val="EndnoteTextChar"/>
    <w:uiPriority w:val="99"/>
    <w:unhideWhenUsed/>
    <w:rsid w:val="009E1169"/>
    <w:rPr>
      <w:rFonts w:eastAsiaTheme="minorHAnsi"/>
      <w:sz w:val="20"/>
      <w:szCs w:val="20"/>
    </w:rPr>
  </w:style>
  <w:style w:type="character" w:customStyle="1" w:styleId="EndnoteTextChar">
    <w:name w:val="Endnote Text Char"/>
    <w:basedOn w:val="DefaultParagraphFont"/>
    <w:link w:val="EndnoteText"/>
    <w:uiPriority w:val="99"/>
    <w:rsid w:val="009E116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9E1169"/>
    <w:rPr>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Char,FA Fu,ft"/>
    <w:basedOn w:val="Normal"/>
    <w:link w:val="FootnoteTextChar"/>
    <w:uiPriority w:val="99"/>
    <w:unhideWhenUsed/>
    <w:qFormat/>
    <w:rsid w:val="009E1169"/>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uiPriority w:val="99"/>
    <w:qFormat/>
    <w:rsid w:val="009E1169"/>
    <w:rPr>
      <w:rFonts w:ascii="Times New Roman" w:eastAsia="Times New Roman" w:hAnsi="Times New Roman" w:cs="Times New Roman"/>
      <w:sz w:val="20"/>
      <w:szCs w:val="20"/>
    </w:rPr>
  </w:style>
  <w:style w:type="paragraph" w:styleId="NormalWeb">
    <w:name w:val="Normal (Web)"/>
    <w:basedOn w:val="Normal"/>
    <w:uiPriority w:val="99"/>
    <w:unhideWhenUsed/>
    <w:rsid w:val="009E1169"/>
    <w:pPr>
      <w:spacing w:before="100" w:beforeAutospacing="1" w:after="100" w:afterAutospacing="1"/>
    </w:pPr>
    <w:rPr>
      <w:rFonts w:ascii="Times" w:hAnsi="Times"/>
      <w:sz w:val="20"/>
      <w:szCs w:val="20"/>
    </w:rPr>
  </w:style>
  <w:style w:type="paragraph" w:customStyle="1" w:styleId="size">
    <w:name w:val="size"/>
    <w:basedOn w:val="Normal"/>
    <w:uiPriority w:val="99"/>
    <w:rsid w:val="009E1169"/>
    <w:pPr>
      <w:spacing w:before="100" w:beforeAutospacing="1" w:after="100" w:afterAutospacing="1"/>
    </w:pPr>
    <w:rPr>
      <w:sz w:val="24"/>
      <w:szCs w:val="24"/>
    </w:rPr>
  </w:style>
  <w:style w:type="character" w:styleId="Strong">
    <w:name w:val="Strong"/>
    <w:basedOn w:val="DefaultParagraphFont"/>
    <w:uiPriority w:val="22"/>
    <w:qFormat/>
    <w:rsid w:val="009E1169"/>
    <w:rPr>
      <w:b/>
      <w:bCs/>
    </w:rPr>
  </w:style>
  <w:style w:type="character" w:styleId="SubtleEmphasis">
    <w:name w:val="Subtle Emphasis"/>
    <w:basedOn w:val="DefaultParagraphFont"/>
    <w:uiPriority w:val="19"/>
    <w:qFormat/>
    <w:rsid w:val="009E1169"/>
    <w:rPr>
      <w:i/>
      <w:iCs/>
      <w:color w:val="808080" w:themeColor="text1" w:themeTint="7F"/>
    </w:rPr>
  </w:style>
  <w:style w:type="paragraph" w:styleId="HTMLPreformatted">
    <w:name w:val="HTML Preformatted"/>
    <w:basedOn w:val="Normal"/>
    <w:link w:val="HTMLPreformattedChar"/>
    <w:uiPriority w:val="99"/>
    <w:unhideWhenUsed/>
    <w:rsid w:val="009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9E1169"/>
    <w:rPr>
      <w:rFonts w:ascii="Courier New" w:eastAsia="Times New Roman" w:hAnsi="Courier New" w:cs="Courier New"/>
      <w:sz w:val="20"/>
      <w:szCs w:val="20"/>
      <w:lang w:val="sq-AL" w:eastAsia="sq-AL"/>
    </w:rPr>
  </w:style>
  <w:style w:type="character" w:customStyle="1" w:styleId="NoSpacingChar">
    <w:name w:val="No Spacing Char"/>
    <w:link w:val="NoSpacing"/>
    <w:uiPriority w:val="1"/>
    <w:rsid w:val="009E1169"/>
  </w:style>
  <w:style w:type="paragraph" w:styleId="BodyText">
    <w:name w:val="Body Text"/>
    <w:basedOn w:val="Normal"/>
    <w:link w:val="BodyTextChar"/>
    <w:uiPriority w:val="99"/>
    <w:semiHidden/>
    <w:unhideWhenUsed/>
    <w:rsid w:val="009E1169"/>
    <w:pPr>
      <w:spacing w:after="120"/>
    </w:pPr>
  </w:style>
  <w:style w:type="character" w:customStyle="1" w:styleId="BodyTextChar">
    <w:name w:val="Body Text Char"/>
    <w:basedOn w:val="DefaultParagraphFont"/>
    <w:link w:val="BodyText"/>
    <w:uiPriority w:val="99"/>
    <w:semiHidden/>
    <w:rsid w:val="009E1169"/>
    <w:rPr>
      <w:rFonts w:ascii="Times New Roman" w:eastAsia="Times New Roman" w:hAnsi="Times New Roman" w:cs="Times New Roman"/>
      <w:sz w:val="28"/>
      <w:szCs w:val="28"/>
    </w:rPr>
  </w:style>
  <w:style w:type="paragraph" w:customStyle="1" w:styleId="Char2">
    <w:name w:val="Char2"/>
    <w:basedOn w:val="Normal"/>
    <w:uiPriority w:val="99"/>
    <w:qFormat/>
    <w:rsid w:val="009E1169"/>
    <w:pPr>
      <w:spacing w:after="160" w:line="240" w:lineRule="exact"/>
    </w:pPr>
    <w:rPr>
      <w:rFonts w:ascii="Arial" w:eastAsia="Calibri" w:hAnsi="Arial"/>
      <w:sz w:val="20"/>
      <w:szCs w:val="20"/>
      <w:vertAlign w:val="superscript"/>
    </w:rPr>
  </w:style>
  <w:style w:type="paragraph" w:customStyle="1" w:styleId="Body">
    <w:name w:val="Body"/>
    <w:uiPriority w:val="99"/>
    <w:rsid w:val="009E1169"/>
    <w:pPr>
      <w:widowControl w:val="0"/>
      <w:spacing w:after="0" w:line="240" w:lineRule="auto"/>
    </w:pPr>
    <w:rPr>
      <w:rFonts w:ascii="Times New Roman" w:eastAsia="Arial Unicode MS" w:hAnsi="Times New Roman" w:cs="Arial Unicode MS"/>
      <w:color w:val="00000A"/>
      <w:sz w:val="24"/>
      <w:szCs w:val="24"/>
      <w:u w:color="00000A"/>
    </w:rPr>
  </w:style>
  <w:style w:type="paragraph" w:customStyle="1" w:styleId="yiv0890048165msolistparagraph">
    <w:name w:val="yiv0890048165msolistparagraph"/>
    <w:basedOn w:val="Normal"/>
    <w:uiPriority w:val="99"/>
    <w:rsid w:val="009E1169"/>
    <w:pPr>
      <w:spacing w:before="100" w:beforeAutospacing="1" w:after="100" w:afterAutospacing="1"/>
    </w:pPr>
    <w:rPr>
      <w:sz w:val="24"/>
      <w:szCs w:val="24"/>
    </w:rPr>
  </w:style>
  <w:style w:type="character" w:styleId="FootnoteReference">
    <w:name w:val="footnote reference"/>
    <w:aliases w:val="BVI fnr,Footnote symbol,Footnote Reference Arial,Appel note de bas de page,callout,Footnote Reference1,ftref,Footnotes refss,4_G,BVI fnr Car Car,BVI fnr Car,BVI fnr Car Car Car Car,BVI fnr Char Char Char Char Char Char1,BVI fnr Char"/>
    <w:uiPriority w:val="99"/>
    <w:unhideWhenUsed/>
    <w:qFormat/>
    <w:rsid w:val="009E1169"/>
    <w:rPr>
      <w:vertAlign w:val="superscript"/>
    </w:rPr>
  </w:style>
  <w:style w:type="table" w:styleId="TableGrid">
    <w:name w:val="Table Grid"/>
    <w:basedOn w:val="TableNormal"/>
    <w:uiPriority w:val="59"/>
    <w:rsid w:val="009E116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E1169"/>
    <w:rPr>
      <w:rFonts w:cs="Times New Roman"/>
      <w:i/>
      <w:iCs/>
    </w:rPr>
  </w:style>
  <w:style w:type="paragraph" w:styleId="Title">
    <w:name w:val="Title"/>
    <w:basedOn w:val="Normal"/>
    <w:link w:val="TitleChar"/>
    <w:uiPriority w:val="1"/>
    <w:qFormat/>
    <w:rsid w:val="009E1169"/>
    <w:pPr>
      <w:spacing w:before="5400" w:after="3400"/>
      <w:ind w:left="5040" w:right="-1944"/>
      <w:contextualSpacing/>
    </w:pPr>
    <w:rPr>
      <w:rFonts w:asciiTheme="majorHAnsi" w:eastAsiaTheme="majorEastAsia" w:hAnsiTheme="majorHAnsi" w:cstheme="majorBidi"/>
      <w:kern w:val="28"/>
      <w:sz w:val="72"/>
      <w:szCs w:val="72"/>
      <w:lang w:eastAsia="ja-JP"/>
    </w:rPr>
  </w:style>
  <w:style w:type="character" w:customStyle="1" w:styleId="TitleChar">
    <w:name w:val="Title Char"/>
    <w:basedOn w:val="DefaultParagraphFont"/>
    <w:link w:val="Title"/>
    <w:uiPriority w:val="1"/>
    <w:rsid w:val="009E1169"/>
    <w:rPr>
      <w:rFonts w:asciiTheme="majorHAnsi" w:eastAsiaTheme="majorEastAsia" w:hAnsiTheme="majorHAnsi" w:cstheme="majorBidi"/>
      <w:kern w:val="28"/>
      <w:sz w:val="72"/>
      <w:szCs w:val="72"/>
      <w:lang w:eastAsia="ja-JP"/>
    </w:rPr>
  </w:style>
  <w:style w:type="character" w:customStyle="1" w:styleId="normalchar">
    <w:name w:val="normal__char"/>
    <w:rsid w:val="009E1169"/>
  </w:style>
  <w:style w:type="table" w:customStyle="1" w:styleId="TableGrid1">
    <w:name w:val="Table Grid1"/>
    <w:basedOn w:val="TableNormal"/>
    <w:uiPriority w:val="59"/>
    <w:rsid w:val="009E1169"/>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uiPriority w:val="99"/>
    <w:rsid w:val="009E1169"/>
    <w:pPr>
      <w:spacing w:before="100" w:beforeAutospacing="1" w:after="100" w:afterAutospacing="1"/>
    </w:pPr>
    <w:rPr>
      <w:sz w:val="24"/>
      <w:szCs w:val="24"/>
    </w:rPr>
  </w:style>
  <w:style w:type="character" w:customStyle="1" w:styleId="list0020paragraphchar">
    <w:name w:val="list_0020paragraph__char"/>
    <w:basedOn w:val="DefaultParagraphFont"/>
    <w:rsid w:val="009E1169"/>
  </w:style>
  <w:style w:type="character" w:customStyle="1" w:styleId="UnresolvedMention1">
    <w:name w:val="Unresolved Mention1"/>
    <w:basedOn w:val="DefaultParagraphFont"/>
    <w:uiPriority w:val="99"/>
    <w:semiHidden/>
    <w:unhideWhenUsed/>
    <w:rsid w:val="009E1169"/>
    <w:rPr>
      <w:color w:val="605E5C"/>
      <w:shd w:val="clear" w:color="auto" w:fill="E1DFDD"/>
    </w:rPr>
  </w:style>
  <w:style w:type="paragraph" w:customStyle="1" w:styleId="paragraph">
    <w:name w:val="paragraph"/>
    <w:basedOn w:val="Normal"/>
    <w:uiPriority w:val="99"/>
    <w:rsid w:val="009E1169"/>
    <w:pPr>
      <w:spacing w:before="100" w:beforeAutospacing="1" w:after="100" w:afterAutospacing="1"/>
    </w:pPr>
    <w:rPr>
      <w:sz w:val="24"/>
      <w:szCs w:val="24"/>
    </w:rPr>
  </w:style>
  <w:style w:type="character" w:customStyle="1" w:styleId="normaltextrun">
    <w:name w:val="normaltextrun"/>
    <w:basedOn w:val="DefaultParagraphFont"/>
    <w:rsid w:val="009E1169"/>
  </w:style>
  <w:style w:type="character" w:customStyle="1" w:styleId="eop">
    <w:name w:val="eop"/>
    <w:basedOn w:val="DefaultParagraphFont"/>
    <w:rsid w:val="009E1169"/>
  </w:style>
  <w:style w:type="character" w:customStyle="1" w:styleId="spellingerror">
    <w:name w:val="spellingerror"/>
    <w:basedOn w:val="DefaultParagraphFont"/>
    <w:rsid w:val="009E1169"/>
  </w:style>
  <w:style w:type="character" w:customStyle="1" w:styleId="UnresolvedMention2">
    <w:name w:val="Unresolved Mention2"/>
    <w:basedOn w:val="DefaultParagraphFont"/>
    <w:uiPriority w:val="99"/>
    <w:semiHidden/>
    <w:unhideWhenUsed/>
    <w:rsid w:val="009E1169"/>
    <w:rPr>
      <w:color w:val="605E5C"/>
      <w:shd w:val="clear" w:color="auto" w:fill="E1DFDD"/>
    </w:rPr>
  </w:style>
  <w:style w:type="paragraph" w:customStyle="1" w:styleId="msonormal0">
    <w:name w:val="msonormal"/>
    <w:basedOn w:val="Normal"/>
    <w:uiPriority w:val="99"/>
    <w:rsid w:val="009E1169"/>
    <w:pPr>
      <w:spacing w:before="100" w:beforeAutospacing="1" w:after="100" w:afterAutospacing="1"/>
    </w:pPr>
    <w:rPr>
      <w:rFonts w:ascii="Times" w:hAnsi="Times"/>
      <w:sz w:val="20"/>
      <w:szCs w:val="20"/>
    </w:rPr>
  </w:style>
  <w:style w:type="character" w:customStyle="1" w:styleId="FootnoteTextChar2">
    <w:name w:val="Footnote Text Char2"/>
    <w:aliases w:val="Footnote Text Char1 Char Char1,Footnote Text Char Char Char Char1,Footnote Text Char1 Char Char Char Char1,Footnote Text Char Char Char Char Char Char1,Footnote Text Char2 Char Char Char Char Char Char1,Footnote Text Char1 Char2"/>
    <w:basedOn w:val="DefaultParagraphFont"/>
    <w:semiHidden/>
    <w:rsid w:val="009E1169"/>
    <w:rPr>
      <w:rFonts w:ascii="Times New Roman" w:hAnsi="Times New Roman"/>
    </w:rPr>
  </w:style>
  <w:style w:type="paragraph" w:styleId="BodyText2">
    <w:name w:val="Body Text 2"/>
    <w:basedOn w:val="Normal"/>
    <w:link w:val="BodyText2Char"/>
    <w:uiPriority w:val="99"/>
    <w:semiHidden/>
    <w:unhideWhenUsed/>
    <w:rsid w:val="009E1169"/>
    <w:pPr>
      <w:spacing w:after="120" w:line="480" w:lineRule="auto"/>
    </w:pPr>
  </w:style>
  <w:style w:type="character" w:customStyle="1" w:styleId="BodyText2Char">
    <w:name w:val="Body Text 2 Char"/>
    <w:basedOn w:val="DefaultParagraphFont"/>
    <w:link w:val="BodyText2"/>
    <w:uiPriority w:val="99"/>
    <w:semiHidden/>
    <w:rsid w:val="009E1169"/>
    <w:rPr>
      <w:rFonts w:ascii="Times New Roman" w:eastAsia="Times New Roman" w:hAnsi="Times New Roman" w:cs="Times New Roman"/>
      <w:sz w:val="28"/>
      <w:szCs w:val="28"/>
    </w:rPr>
  </w:style>
  <w:style w:type="paragraph" w:customStyle="1" w:styleId="xmsonormal">
    <w:name w:val="x_msonormal"/>
    <w:basedOn w:val="Normal"/>
    <w:uiPriority w:val="99"/>
    <w:semiHidden/>
    <w:rsid w:val="009E1169"/>
    <w:pPr>
      <w:spacing w:before="0" w:after="0" w:line="240" w:lineRule="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E1169"/>
    <w:rPr>
      <w:color w:val="605E5C"/>
      <w:shd w:val="clear" w:color="auto" w:fill="E1DFDD"/>
    </w:rPr>
  </w:style>
  <w:style w:type="character" w:customStyle="1" w:styleId="atowb">
    <w:name w:val="atowb"/>
    <w:basedOn w:val="DefaultParagraphFont"/>
    <w:rsid w:val="009E1169"/>
  </w:style>
  <w:style w:type="character" w:styleId="Mention">
    <w:name w:val="Mention"/>
    <w:basedOn w:val="DefaultParagraphFont"/>
    <w:uiPriority w:val="99"/>
    <w:unhideWhenUsed/>
    <w:rsid w:val="009E11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eligiousfreedomrepor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state.gov/reports/just-act-report-to-congres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l.gov/agencies/ilab/resources/reports/child-labor/findings" TargetMode="External"/><Relationship Id="rId4" Type="http://schemas.openxmlformats.org/officeDocument/2006/relationships/webSettings" Target="webSettings.xml"/><Relationship Id="rId9" Type="http://schemas.openxmlformats.org/officeDocument/2006/relationships/hyperlink" Target="https://www.state.gov/trafficking-in-persons-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11048</Words>
  <Characters>62978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Lekloti, Guri (Tirana)</cp:lastModifiedBy>
  <cp:revision>8</cp:revision>
  <dcterms:created xsi:type="dcterms:W3CDTF">2023-03-20T08:34:00Z</dcterms:created>
  <dcterms:modified xsi:type="dcterms:W3CDTF">2023-03-20T08:39:00Z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2023-03-20T08:34:51Z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33f30d45-4d45-4de6-ae8d-6a68550b91a1</vt:lpwstr>
  </property>
  <property fmtid="{D5CDD505-2E9C-101B-9397-08002B2CF9AE}" pid="8" name="MSIP_Label_1665d9ee-429a-4d5f-97cc-cfb56e044a6e_ContentBits">
    <vt:lpwstr>0</vt:lpwstr>
  </property>
</Properties>
</file>