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541"/>
      </w:tblGrid>
      <w:tr w:rsidR="00BD7F77" w14:paraId="3F623FDE" w14:textId="77777777" w:rsidTr="00BD7F77">
        <w:tc>
          <w:tcPr>
            <w:tcW w:w="4675" w:type="dxa"/>
          </w:tcPr>
          <w:p w14:paraId="2BD59EF1" w14:textId="2D4786DC" w:rsidR="00BD7F77" w:rsidRDefault="00BD7F77">
            <w:r>
              <w:rPr>
                <w:noProof/>
              </w:rPr>
              <w:drawing>
                <wp:inline distT="0" distB="0" distL="0" distR="0" wp14:anchorId="2C0D684F" wp14:editId="196775FE">
                  <wp:extent cx="2923083"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3083" cy="457200"/>
                          </a:xfrm>
                          <a:prstGeom prst="rect">
                            <a:avLst/>
                          </a:prstGeom>
                        </pic:spPr>
                      </pic:pic>
                    </a:graphicData>
                  </a:graphic>
                </wp:inline>
              </w:drawing>
            </w:r>
          </w:p>
        </w:tc>
        <w:tc>
          <w:tcPr>
            <w:tcW w:w="4675" w:type="dxa"/>
          </w:tcPr>
          <w:p w14:paraId="3D3F45B7" w14:textId="38E301F2" w:rsidR="00BD7F77" w:rsidRDefault="00BD7F77" w:rsidP="00BD7F77">
            <w:pPr>
              <w:jc w:val="right"/>
            </w:pPr>
            <w:r>
              <w:rPr>
                <w:noProof/>
              </w:rPr>
              <w:drawing>
                <wp:inline distT="0" distB="0" distL="0" distR="0" wp14:anchorId="77CE6878" wp14:editId="448AAF57">
                  <wp:extent cx="1463040" cy="42015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_headerLogo.png"/>
                          <pic:cNvPicPr/>
                        </pic:nvPicPr>
                        <pic:blipFill>
                          <a:blip r:embed="rId7">
                            <a:extLst>
                              <a:ext uri="{28A0092B-C50C-407E-A947-70E740481C1C}">
                                <a14:useLocalDpi xmlns:a14="http://schemas.microsoft.com/office/drawing/2010/main" val="0"/>
                              </a:ext>
                            </a:extLst>
                          </a:blip>
                          <a:stretch>
                            <a:fillRect/>
                          </a:stretch>
                        </pic:blipFill>
                        <pic:spPr>
                          <a:xfrm>
                            <a:off x="0" y="0"/>
                            <a:ext cx="1463040" cy="420155"/>
                          </a:xfrm>
                          <a:prstGeom prst="rect">
                            <a:avLst/>
                          </a:prstGeom>
                        </pic:spPr>
                      </pic:pic>
                    </a:graphicData>
                  </a:graphic>
                </wp:inline>
              </w:drawing>
            </w:r>
          </w:p>
        </w:tc>
      </w:tr>
    </w:tbl>
    <w:p w14:paraId="4F62DCAF" w14:textId="705BB323" w:rsidR="00CC6768" w:rsidRDefault="0055004A"/>
    <w:p w14:paraId="08F42DA5" w14:textId="77777777" w:rsidR="005D63F2" w:rsidRDefault="005D63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3955"/>
      </w:tblGrid>
      <w:tr w:rsidR="00BD7F77" w14:paraId="020CFE53" w14:textId="77777777" w:rsidTr="005D63F2">
        <w:tc>
          <w:tcPr>
            <w:tcW w:w="5395" w:type="dxa"/>
          </w:tcPr>
          <w:p w14:paraId="4B56197D" w14:textId="3D57B7E8" w:rsidR="00BD7F77" w:rsidRPr="005D63F2" w:rsidRDefault="001D4A39">
            <w:pPr>
              <w:rPr>
                <w:rFonts w:ascii="Times New Roman" w:hAnsi="Times New Roman" w:cs="Times New Roman"/>
                <w:sz w:val="24"/>
                <w:szCs w:val="24"/>
              </w:rPr>
            </w:pPr>
            <w:r>
              <w:rPr>
                <w:rFonts w:ascii="Times New Roman" w:hAnsi="Times New Roman" w:cs="Times New Roman"/>
                <w:b/>
                <w:bCs/>
                <w:sz w:val="24"/>
                <w:szCs w:val="24"/>
              </w:rPr>
              <w:t>Voluntary</w:t>
            </w:r>
            <w:r w:rsidR="00BD7F77" w:rsidRPr="005D63F2">
              <w:rPr>
                <w:rFonts w:ascii="Times New Roman" w:hAnsi="Times New Roman" w:cs="Times New Roman"/>
                <w:b/>
                <w:bCs/>
                <w:sz w:val="24"/>
                <w:szCs w:val="24"/>
              </w:rPr>
              <w:t xml:space="preserve"> Report</w:t>
            </w:r>
            <w:r>
              <w:rPr>
                <w:rFonts w:ascii="Times New Roman" w:hAnsi="Times New Roman" w:cs="Times New Roman"/>
                <w:b/>
                <w:bCs/>
                <w:sz w:val="24"/>
                <w:szCs w:val="24"/>
              </w:rPr>
              <w:t xml:space="preserve"> - </w:t>
            </w:r>
            <w:r>
              <w:rPr>
                <w:rFonts w:ascii="Times New Roman" w:hAnsi="Times New Roman" w:cs="Times New Roman"/>
                <w:sz w:val="24"/>
                <w:szCs w:val="24"/>
              </w:rPr>
              <w:t>Voluntary</w:t>
            </w:r>
            <w:r w:rsidR="00BD7F77" w:rsidRPr="005D63F2">
              <w:rPr>
                <w:rFonts w:ascii="Times New Roman" w:hAnsi="Times New Roman" w:cs="Times New Roman"/>
                <w:sz w:val="24"/>
                <w:szCs w:val="24"/>
              </w:rPr>
              <w:t xml:space="preserve"> </w:t>
            </w:r>
            <w:r>
              <w:rPr>
                <w:rFonts w:ascii="Times New Roman" w:hAnsi="Times New Roman" w:cs="Times New Roman"/>
                <w:sz w:val="24"/>
                <w:szCs w:val="24"/>
              </w:rPr>
              <w:t>-</w:t>
            </w:r>
            <w:r w:rsidR="00BD7F77" w:rsidRPr="005D63F2">
              <w:rPr>
                <w:rFonts w:ascii="Times New Roman" w:hAnsi="Times New Roman" w:cs="Times New Roman"/>
                <w:sz w:val="24"/>
                <w:szCs w:val="24"/>
              </w:rPr>
              <w:t xml:space="preserve"> Public Distribution</w:t>
            </w:r>
          </w:p>
        </w:tc>
        <w:tc>
          <w:tcPr>
            <w:tcW w:w="3955" w:type="dxa"/>
          </w:tcPr>
          <w:p w14:paraId="218116FD" w14:textId="1753CF28" w:rsidR="00BD7F77" w:rsidRDefault="00BD7F77" w:rsidP="005D63F2">
            <w:pPr>
              <w:jc w:val="right"/>
              <w:rPr>
                <w:rFonts w:ascii="Times New Roman" w:hAnsi="Times New Roman" w:cs="Times New Roman"/>
                <w:sz w:val="24"/>
                <w:szCs w:val="24"/>
              </w:rPr>
            </w:pPr>
            <w:r w:rsidRPr="005D63F2">
              <w:rPr>
                <w:rFonts w:ascii="Times New Roman" w:hAnsi="Times New Roman" w:cs="Times New Roman"/>
                <w:b/>
                <w:bCs/>
                <w:sz w:val="24"/>
                <w:szCs w:val="24"/>
              </w:rPr>
              <w:t>Date:</w:t>
            </w:r>
            <w:r w:rsidRPr="005D63F2">
              <w:rPr>
                <w:rFonts w:ascii="Times New Roman" w:hAnsi="Times New Roman" w:cs="Times New Roman"/>
                <w:sz w:val="24"/>
                <w:szCs w:val="24"/>
              </w:rPr>
              <w:t xml:space="preserve"> April </w:t>
            </w:r>
            <w:r w:rsidR="001D4A39">
              <w:rPr>
                <w:rFonts w:ascii="Times New Roman" w:hAnsi="Times New Roman" w:cs="Times New Roman"/>
                <w:sz w:val="24"/>
                <w:szCs w:val="24"/>
              </w:rPr>
              <w:t>06</w:t>
            </w:r>
            <w:r w:rsidRPr="005D63F2">
              <w:rPr>
                <w:rFonts w:ascii="Times New Roman" w:hAnsi="Times New Roman" w:cs="Times New Roman"/>
                <w:sz w:val="24"/>
                <w:szCs w:val="24"/>
              </w:rPr>
              <w:t>, 202</w:t>
            </w:r>
            <w:r w:rsidR="001D4A39">
              <w:rPr>
                <w:rFonts w:ascii="Times New Roman" w:hAnsi="Times New Roman" w:cs="Times New Roman"/>
                <w:sz w:val="24"/>
                <w:szCs w:val="24"/>
              </w:rPr>
              <w:t>2</w:t>
            </w:r>
          </w:p>
          <w:p w14:paraId="411C9F03" w14:textId="46576316" w:rsidR="005D63F2" w:rsidRPr="005D63F2" w:rsidRDefault="005D63F2" w:rsidP="005D63F2">
            <w:pPr>
              <w:jc w:val="right"/>
              <w:rPr>
                <w:rFonts w:ascii="Times New Roman" w:hAnsi="Times New Roman" w:cs="Times New Roman"/>
                <w:sz w:val="24"/>
                <w:szCs w:val="24"/>
              </w:rPr>
            </w:pPr>
          </w:p>
        </w:tc>
      </w:tr>
      <w:tr w:rsidR="00BD7F77" w14:paraId="56FCF29A" w14:textId="77777777" w:rsidTr="005D63F2">
        <w:tc>
          <w:tcPr>
            <w:tcW w:w="5395" w:type="dxa"/>
          </w:tcPr>
          <w:p w14:paraId="47856D86" w14:textId="77777777" w:rsidR="00BD7F77" w:rsidRDefault="00BD7F77"/>
        </w:tc>
        <w:tc>
          <w:tcPr>
            <w:tcW w:w="3955" w:type="dxa"/>
          </w:tcPr>
          <w:p w14:paraId="64C79070" w14:textId="3A646C4F" w:rsidR="00BD7F77" w:rsidRPr="005D63F2" w:rsidRDefault="00BD7F77" w:rsidP="005D63F2">
            <w:pPr>
              <w:jc w:val="right"/>
              <w:rPr>
                <w:rFonts w:ascii="Times New Roman" w:hAnsi="Times New Roman" w:cs="Times New Roman"/>
                <w:sz w:val="24"/>
                <w:szCs w:val="24"/>
              </w:rPr>
            </w:pPr>
            <w:r w:rsidRPr="005D63F2">
              <w:rPr>
                <w:rFonts w:ascii="Times New Roman" w:hAnsi="Times New Roman" w:cs="Times New Roman"/>
                <w:b/>
                <w:bCs/>
                <w:sz w:val="24"/>
                <w:szCs w:val="24"/>
              </w:rPr>
              <w:t>Report Number:</w:t>
            </w:r>
            <w:r w:rsidRPr="005D63F2">
              <w:rPr>
                <w:rFonts w:ascii="Times New Roman" w:hAnsi="Times New Roman" w:cs="Times New Roman"/>
                <w:sz w:val="24"/>
                <w:szCs w:val="24"/>
              </w:rPr>
              <w:t xml:space="preserve"> VE202</w:t>
            </w:r>
            <w:r w:rsidR="001D4A39">
              <w:rPr>
                <w:rFonts w:ascii="Times New Roman" w:hAnsi="Times New Roman" w:cs="Times New Roman"/>
                <w:sz w:val="24"/>
                <w:szCs w:val="24"/>
              </w:rPr>
              <w:t>2</w:t>
            </w:r>
            <w:r w:rsidRPr="005D63F2">
              <w:rPr>
                <w:rFonts w:ascii="Times New Roman" w:hAnsi="Times New Roman" w:cs="Times New Roman"/>
                <w:sz w:val="24"/>
                <w:szCs w:val="24"/>
              </w:rPr>
              <w:t>-00</w:t>
            </w:r>
            <w:r w:rsidR="001D4A39">
              <w:rPr>
                <w:rFonts w:ascii="Times New Roman" w:hAnsi="Times New Roman" w:cs="Times New Roman"/>
                <w:sz w:val="24"/>
                <w:szCs w:val="24"/>
              </w:rPr>
              <w:t>10</w:t>
            </w:r>
          </w:p>
        </w:tc>
      </w:tr>
    </w:tbl>
    <w:p w14:paraId="1092C7BE" w14:textId="52DFD723" w:rsidR="00BD7F77" w:rsidRDefault="00BD7F77"/>
    <w:p w14:paraId="704D3D24" w14:textId="7894D990" w:rsidR="00BD7F77" w:rsidRPr="005D63F2" w:rsidRDefault="00BD7F77">
      <w:pPr>
        <w:rPr>
          <w:rFonts w:ascii="Times New Roman" w:hAnsi="Times New Roman" w:cs="Times New Roman"/>
          <w:sz w:val="28"/>
          <w:szCs w:val="28"/>
        </w:rPr>
      </w:pPr>
      <w:r w:rsidRPr="005D63F2">
        <w:rPr>
          <w:rFonts w:ascii="Times New Roman" w:hAnsi="Times New Roman" w:cs="Times New Roman"/>
          <w:b/>
          <w:bCs/>
          <w:sz w:val="28"/>
          <w:szCs w:val="28"/>
        </w:rPr>
        <w:t>Report Name:</w:t>
      </w:r>
      <w:r w:rsidRPr="005D63F2">
        <w:rPr>
          <w:rFonts w:ascii="Times New Roman" w:hAnsi="Times New Roman" w:cs="Times New Roman"/>
          <w:sz w:val="28"/>
          <w:szCs w:val="28"/>
        </w:rPr>
        <w:t xml:space="preserve"> </w:t>
      </w:r>
      <w:r w:rsidR="001D4A39" w:rsidRPr="001D4A39">
        <w:rPr>
          <w:rFonts w:ascii="Times New Roman" w:hAnsi="Times New Roman" w:cs="Times New Roman"/>
          <w:sz w:val="28"/>
          <w:szCs w:val="28"/>
        </w:rPr>
        <w:t>Venezuelan Agricultural Imports Grew 85 percent since 2019</w:t>
      </w:r>
    </w:p>
    <w:p w14:paraId="2085FB8D" w14:textId="20DD9798" w:rsidR="00BD7F77" w:rsidRPr="005D63F2" w:rsidRDefault="00BD7F77">
      <w:pPr>
        <w:rPr>
          <w:rFonts w:ascii="Times New Roman" w:hAnsi="Times New Roman" w:cs="Times New Roman"/>
          <w:sz w:val="24"/>
          <w:szCs w:val="24"/>
        </w:rPr>
      </w:pPr>
      <w:r w:rsidRPr="005D63F2">
        <w:rPr>
          <w:rFonts w:ascii="Times New Roman" w:hAnsi="Times New Roman" w:cs="Times New Roman"/>
          <w:b/>
          <w:bCs/>
          <w:sz w:val="24"/>
          <w:szCs w:val="24"/>
        </w:rPr>
        <w:t>Country:</w:t>
      </w:r>
      <w:r w:rsidRPr="005D63F2">
        <w:rPr>
          <w:rFonts w:ascii="Times New Roman" w:hAnsi="Times New Roman" w:cs="Times New Roman"/>
          <w:sz w:val="24"/>
          <w:szCs w:val="24"/>
        </w:rPr>
        <w:t xml:space="preserve"> Venezuela</w:t>
      </w:r>
    </w:p>
    <w:p w14:paraId="700D74CA" w14:textId="0B1B47FD" w:rsidR="00BD7F77" w:rsidRPr="005D63F2" w:rsidRDefault="00BD7F77">
      <w:pPr>
        <w:rPr>
          <w:rFonts w:ascii="Times New Roman" w:hAnsi="Times New Roman" w:cs="Times New Roman"/>
          <w:sz w:val="24"/>
          <w:szCs w:val="24"/>
        </w:rPr>
      </w:pPr>
      <w:r w:rsidRPr="005D63F2">
        <w:rPr>
          <w:rFonts w:ascii="Times New Roman" w:hAnsi="Times New Roman" w:cs="Times New Roman"/>
          <w:b/>
          <w:bCs/>
          <w:sz w:val="24"/>
          <w:szCs w:val="24"/>
        </w:rPr>
        <w:t>Post:</w:t>
      </w:r>
      <w:r w:rsidRPr="005D63F2">
        <w:rPr>
          <w:rFonts w:ascii="Times New Roman" w:hAnsi="Times New Roman" w:cs="Times New Roman"/>
          <w:sz w:val="24"/>
          <w:szCs w:val="24"/>
        </w:rPr>
        <w:t xml:space="preserve"> Caracas</w:t>
      </w:r>
    </w:p>
    <w:p w14:paraId="30A579C5" w14:textId="11E1AAF6" w:rsidR="00BD7F77" w:rsidRDefault="00BD7F77">
      <w:pPr>
        <w:rPr>
          <w:rFonts w:ascii="Times New Roman" w:hAnsi="Times New Roman" w:cs="Times New Roman"/>
          <w:sz w:val="24"/>
          <w:szCs w:val="24"/>
        </w:rPr>
      </w:pPr>
      <w:r w:rsidRPr="005D63F2">
        <w:rPr>
          <w:rFonts w:ascii="Times New Roman" w:hAnsi="Times New Roman" w:cs="Times New Roman"/>
          <w:b/>
          <w:bCs/>
          <w:sz w:val="24"/>
          <w:szCs w:val="24"/>
        </w:rPr>
        <w:t>Report Category:</w:t>
      </w:r>
      <w:r w:rsidRPr="005D63F2">
        <w:rPr>
          <w:rFonts w:ascii="Times New Roman" w:hAnsi="Times New Roman" w:cs="Times New Roman"/>
          <w:sz w:val="24"/>
          <w:szCs w:val="24"/>
        </w:rPr>
        <w:t xml:space="preserve"> </w:t>
      </w:r>
      <w:r w:rsidR="001D4A39">
        <w:rPr>
          <w:rFonts w:ascii="Times New Roman" w:hAnsi="Times New Roman" w:cs="Times New Roman"/>
          <w:sz w:val="24"/>
          <w:szCs w:val="24"/>
        </w:rPr>
        <w:t>Agricultural Situation</w:t>
      </w:r>
    </w:p>
    <w:p w14:paraId="6577CCAE" w14:textId="3FF41962" w:rsidR="005D63F2" w:rsidRDefault="005D63F2">
      <w:pPr>
        <w:rPr>
          <w:rFonts w:ascii="Times New Roman" w:hAnsi="Times New Roman" w:cs="Times New Roman"/>
          <w:sz w:val="24"/>
          <w:szCs w:val="24"/>
        </w:rPr>
      </w:pPr>
    </w:p>
    <w:p w14:paraId="127EAD34" w14:textId="77777777" w:rsidR="005D63F2" w:rsidRPr="005D63F2" w:rsidRDefault="005D63F2">
      <w:pPr>
        <w:rPr>
          <w:rFonts w:ascii="Times New Roman" w:hAnsi="Times New Roman" w:cs="Times New Roman"/>
          <w:sz w:val="24"/>
          <w:szCs w:val="24"/>
        </w:rPr>
      </w:pPr>
    </w:p>
    <w:p w14:paraId="4C413696" w14:textId="0D43F890" w:rsidR="00BD7F77" w:rsidRPr="005D63F2" w:rsidRDefault="00BD7F77">
      <w:pPr>
        <w:rPr>
          <w:rFonts w:ascii="Times New Roman" w:hAnsi="Times New Roman" w:cs="Times New Roman"/>
          <w:sz w:val="24"/>
          <w:szCs w:val="24"/>
        </w:rPr>
      </w:pPr>
      <w:r w:rsidRPr="005D63F2">
        <w:rPr>
          <w:rFonts w:ascii="Times New Roman" w:hAnsi="Times New Roman" w:cs="Times New Roman"/>
          <w:b/>
          <w:bCs/>
          <w:sz w:val="24"/>
          <w:szCs w:val="24"/>
        </w:rPr>
        <w:t>Prepared By:</w:t>
      </w:r>
      <w:r w:rsidRPr="005D63F2">
        <w:rPr>
          <w:rFonts w:ascii="Times New Roman" w:hAnsi="Times New Roman" w:cs="Times New Roman"/>
          <w:sz w:val="24"/>
          <w:szCs w:val="24"/>
        </w:rPr>
        <w:t xml:space="preserve"> FAS Staff</w:t>
      </w:r>
    </w:p>
    <w:p w14:paraId="03A362A4" w14:textId="47922CE6" w:rsidR="00BD7F77" w:rsidRPr="005D63F2" w:rsidRDefault="00BD7F77">
      <w:pPr>
        <w:rPr>
          <w:rFonts w:ascii="Times New Roman" w:hAnsi="Times New Roman" w:cs="Times New Roman"/>
          <w:sz w:val="24"/>
          <w:szCs w:val="24"/>
        </w:rPr>
      </w:pPr>
      <w:r w:rsidRPr="005D63F2">
        <w:rPr>
          <w:rFonts w:ascii="Times New Roman" w:hAnsi="Times New Roman" w:cs="Times New Roman"/>
          <w:b/>
          <w:bCs/>
          <w:sz w:val="24"/>
          <w:szCs w:val="24"/>
        </w:rPr>
        <w:t>Approved By:</w:t>
      </w:r>
      <w:r w:rsidRPr="005D63F2">
        <w:rPr>
          <w:rFonts w:ascii="Times New Roman" w:hAnsi="Times New Roman" w:cs="Times New Roman"/>
          <w:sz w:val="24"/>
          <w:szCs w:val="24"/>
        </w:rPr>
        <w:t xml:space="preserve"> </w:t>
      </w:r>
      <w:proofErr w:type="gramStart"/>
      <w:r w:rsidR="001D4A39" w:rsidRPr="001D4A39">
        <w:rPr>
          <w:rFonts w:ascii="Times New Roman" w:hAnsi="Times New Roman" w:cs="Times New Roman"/>
          <w:sz w:val="24"/>
          <w:szCs w:val="24"/>
        </w:rPr>
        <w:t>Abigail  Mackey</w:t>
      </w:r>
      <w:proofErr w:type="gramEnd"/>
    </w:p>
    <w:p w14:paraId="34E97213" w14:textId="7ACA019D" w:rsidR="00BD7F77" w:rsidRPr="005D63F2" w:rsidRDefault="00BD7F77">
      <w:pPr>
        <w:rPr>
          <w:rFonts w:ascii="Times New Roman" w:hAnsi="Times New Roman" w:cs="Times New Roman"/>
          <w:sz w:val="24"/>
          <w:szCs w:val="24"/>
        </w:rPr>
      </w:pPr>
    </w:p>
    <w:p w14:paraId="32ACE583" w14:textId="2D931F21" w:rsidR="00BD7F77" w:rsidRPr="00B65708" w:rsidRDefault="00BD7F77">
      <w:pPr>
        <w:rPr>
          <w:rFonts w:ascii="Times New Roman" w:hAnsi="Times New Roman" w:cs="Times New Roman"/>
          <w:b/>
          <w:bCs/>
          <w:sz w:val="24"/>
          <w:szCs w:val="24"/>
          <w:lang w:val="es-VE"/>
        </w:rPr>
      </w:pPr>
      <w:proofErr w:type="spellStart"/>
      <w:r w:rsidRPr="00B65708">
        <w:rPr>
          <w:rFonts w:ascii="Times New Roman" w:hAnsi="Times New Roman" w:cs="Times New Roman"/>
          <w:b/>
          <w:bCs/>
          <w:sz w:val="24"/>
          <w:szCs w:val="24"/>
          <w:lang w:val="es-VE"/>
        </w:rPr>
        <w:t>Report</w:t>
      </w:r>
      <w:proofErr w:type="spellEnd"/>
      <w:r w:rsidRPr="00B65708">
        <w:rPr>
          <w:rFonts w:ascii="Times New Roman" w:hAnsi="Times New Roman" w:cs="Times New Roman"/>
          <w:b/>
          <w:bCs/>
          <w:sz w:val="24"/>
          <w:szCs w:val="24"/>
          <w:lang w:val="es-VE"/>
        </w:rPr>
        <w:t xml:space="preserve"> </w:t>
      </w:r>
      <w:proofErr w:type="spellStart"/>
      <w:r w:rsidRPr="00B65708">
        <w:rPr>
          <w:rFonts w:ascii="Times New Roman" w:hAnsi="Times New Roman" w:cs="Times New Roman"/>
          <w:b/>
          <w:bCs/>
          <w:sz w:val="24"/>
          <w:szCs w:val="24"/>
          <w:lang w:val="es-VE"/>
        </w:rPr>
        <w:t>Highlights</w:t>
      </w:r>
      <w:proofErr w:type="spellEnd"/>
      <w:r w:rsidRPr="00B65708">
        <w:rPr>
          <w:rFonts w:ascii="Times New Roman" w:hAnsi="Times New Roman" w:cs="Times New Roman"/>
          <w:b/>
          <w:bCs/>
          <w:sz w:val="24"/>
          <w:szCs w:val="24"/>
          <w:lang w:val="es-VE"/>
        </w:rPr>
        <w:t>:</w:t>
      </w:r>
    </w:p>
    <w:p w14:paraId="001E076A" w14:textId="3C0D5899" w:rsidR="003037AC" w:rsidRPr="003037AC" w:rsidRDefault="003037AC">
      <w:pPr>
        <w:rPr>
          <w:rFonts w:ascii="Times New Roman" w:hAnsi="Times New Roman" w:cs="Times New Roman"/>
          <w:sz w:val="24"/>
          <w:szCs w:val="24"/>
          <w:lang w:val="es-VE"/>
        </w:rPr>
      </w:pPr>
      <w:r w:rsidRPr="003037AC">
        <w:rPr>
          <w:rFonts w:ascii="Times New Roman" w:hAnsi="Times New Roman" w:cs="Times New Roman"/>
          <w:sz w:val="24"/>
          <w:szCs w:val="24"/>
          <w:lang w:val="es-VE"/>
        </w:rPr>
        <w:t xml:space="preserve">Las importaciones agrícolas venezolanas crecieron un 33,1% en 2021 debido a la estabilización de la economía y a la recuperación de la demanda de los consumidores. Sin embargo, disminuyeron un 5,1 por ciento en volumen debido a significativos aumentos de precio de los productos. Las importaciones agrícolas desde los Estados Unidos ascendieron a 634 millones de dólares el año pasado, un 44,8 por ciento más que en 2020. El mercado ha crecido más de un 85 por ciento desde 2019, y los productos con mayor potencial de crecimiento para los exportadores estadounidenses incluyen productos de consumo </w:t>
      </w:r>
      <w:r w:rsidR="00634720">
        <w:rPr>
          <w:rFonts w:ascii="Times New Roman" w:hAnsi="Times New Roman" w:cs="Times New Roman"/>
          <w:sz w:val="24"/>
          <w:szCs w:val="24"/>
          <w:lang w:val="es-VE"/>
        </w:rPr>
        <w:t>final</w:t>
      </w:r>
      <w:r w:rsidRPr="003037AC">
        <w:rPr>
          <w:rFonts w:ascii="Times New Roman" w:hAnsi="Times New Roman" w:cs="Times New Roman"/>
          <w:sz w:val="24"/>
          <w:szCs w:val="24"/>
          <w:lang w:val="es-VE"/>
        </w:rPr>
        <w:t>, maíz, arroz, trigo, harina de soya, aceite de soya y azúcar.</w:t>
      </w:r>
    </w:p>
    <w:p w14:paraId="76C5C113" w14:textId="1B8CF85B" w:rsidR="001D4A39" w:rsidRDefault="001D4A39">
      <w:pPr>
        <w:rPr>
          <w:rFonts w:ascii="Times New Roman" w:hAnsi="Times New Roman" w:cs="Times New Roman"/>
          <w:sz w:val="24"/>
          <w:szCs w:val="24"/>
          <w:lang w:val="es-VE"/>
        </w:rPr>
      </w:pPr>
    </w:p>
    <w:p w14:paraId="0A208E9B" w14:textId="1E0B9818" w:rsidR="001D4A39" w:rsidRDefault="001D4A39">
      <w:pPr>
        <w:rPr>
          <w:rFonts w:ascii="Times New Roman" w:hAnsi="Times New Roman" w:cs="Times New Roman"/>
          <w:sz w:val="24"/>
          <w:szCs w:val="24"/>
          <w:lang w:val="es-VE"/>
        </w:rPr>
      </w:pPr>
    </w:p>
    <w:p w14:paraId="3DD684A5" w14:textId="69AB830F" w:rsidR="001D4A39" w:rsidRDefault="001D4A39">
      <w:pPr>
        <w:rPr>
          <w:rFonts w:ascii="Times New Roman" w:hAnsi="Times New Roman" w:cs="Times New Roman"/>
          <w:sz w:val="24"/>
          <w:szCs w:val="24"/>
          <w:lang w:val="es-VE"/>
        </w:rPr>
      </w:pPr>
    </w:p>
    <w:p w14:paraId="62AB65E1" w14:textId="77777777" w:rsidR="001D4A39" w:rsidRDefault="001D4A39">
      <w:pPr>
        <w:rPr>
          <w:rFonts w:ascii="Times New Roman" w:hAnsi="Times New Roman" w:cs="Times New Roman"/>
          <w:sz w:val="24"/>
          <w:szCs w:val="24"/>
          <w:lang w:val="es-VE"/>
        </w:rPr>
      </w:pPr>
    </w:p>
    <w:tbl>
      <w:tblPr>
        <w:tblStyle w:val="TableGrid"/>
        <w:tblW w:w="0" w:type="auto"/>
        <w:tblLook w:val="04A0" w:firstRow="1" w:lastRow="0" w:firstColumn="1" w:lastColumn="0" w:noHBand="0" w:noVBand="1"/>
      </w:tblPr>
      <w:tblGrid>
        <w:gridCol w:w="9350"/>
      </w:tblGrid>
      <w:tr w:rsidR="005D63F2" w:rsidRPr="005D63F2" w14:paraId="52023063" w14:textId="77777777" w:rsidTr="005D63F2">
        <w:tc>
          <w:tcPr>
            <w:tcW w:w="9350" w:type="dxa"/>
          </w:tcPr>
          <w:p w14:paraId="15D9724A" w14:textId="428D7AB6" w:rsidR="005D63F2" w:rsidRPr="005D63F2" w:rsidRDefault="005D63F2">
            <w:pPr>
              <w:rPr>
                <w:rFonts w:cstheme="minorHAnsi"/>
                <w:sz w:val="24"/>
                <w:szCs w:val="24"/>
              </w:rPr>
            </w:pPr>
            <w:r w:rsidRPr="005D63F2">
              <w:rPr>
                <w:rFonts w:cstheme="minorHAnsi"/>
                <w:sz w:val="20"/>
                <w:szCs w:val="20"/>
              </w:rPr>
              <w:t>THIS REPORT CONTAINS ASSESSMENTS OF COMMODITY AND TRADE ISSUES MADE BY USDA STAFF AND NOT NECESSARILY STATEMENTS OF OFFICIAL U.S. GOVERNMENT POLICY</w:t>
            </w:r>
          </w:p>
        </w:tc>
      </w:tr>
    </w:tbl>
    <w:p w14:paraId="63D8DBA4" w14:textId="768B2909" w:rsidR="005D63F2" w:rsidRDefault="005D63F2">
      <w:pPr>
        <w:rPr>
          <w:rFonts w:ascii="Times New Roman" w:hAnsi="Times New Roman" w:cs="Times New Roman"/>
          <w:sz w:val="24"/>
          <w:szCs w:val="24"/>
        </w:rPr>
      </w:pPr>
    </w:p>
    <w:p w14:paraId="28F17F92" w14:textId="214E8160" w:rsidR="00C40DEE" w:rsidRPr="00C40DEE" w:rsidRDefault="00C40DEE" w:rsidP="00C40DEE">
      <w:pPr>
        <w:rPr>
          <w:rFonts w:ascii="Times New Roman" w:hAnsi="Times New Roman" w:cs="Times New Roman"/>
          <w:b/>
          <w:bCs/>
          <w:sz w:val="24"/>
          <w:szCs w:val="24"/>
          <w:lang w:val="es-VE"/>
        </w:rPr>
      </w:pPr>
      <w:r w:rsidRPr="00C40DEE">
        <w:rPr>
          <w:rFonts w:ascii="Times New Roman" w:hAnsi="Times New Roman" w:cs="Times New Roman"/>
          <w:b/>
          <w:bCs/>
          <w:sz w:val="24"/>
          <w:szCs w:val="24"/>
          <w:lang w:val="es-VE"/>
        </w:rPr>
        <w:lastRenderedPageBreak/>
        <w:t>Situación del Comercio Agrícola.</w:t>
      </w:r>
    </w:p>
    <w:p w14:paraId="53B22E36" w14:textId="652A7FF5" w:rsidR="00C40DEE" w:rsidRDefault="00C40DEE" w:rsidP="00C40DEE">
      <w:pPr>
        <w:rPr>
          <w:rFonts w:ascii="Times New Roman" w:hAnsi="Times New Roman" w:cs="Times New Roman"/>
          <w:sz w:val="24"/>
          <w:szCs w:val="24"/>
          <w:lang w:val="es-VE"/>
        </w:rPr>
      </w:pPr>
      <w:r w:rsidRPr="00C40DEE">
        <w:rPr>
          <w:rFonts w:ascii="Times New Roman" w:hAnsi="Times New Roman" w:cs="Times New Roman"/>
          <w:sz w:val="24"/>
          <w:szCs w:val="24"/>
          <w:lang w:val="es-VE"/>
        </w:rPr>
        <w:t xml:space="preserve">Venezuela </w:t>
      </w:r>
      <w:r>
        <w:rPr>
          <w:rFonts w:ascii="Times New Roman" w:hAnsi="Times New Roman" w:cs="Times New Roman"/>
          <w:sz w:val="24"/>
          <w:szCs w:val="24"/>
          <w:lang w:val="es-VE"/>
        </w:rPr>
        <w:t>llegó a ser</w:t>
      </w:r>
      <w:r w:rsidRPr="00C40DEE">
        <w:rPr>
          <w:rFonts w:ascii="Times New Roman" w:hAnsi="Times New Roman" w:cs="Times New Roman"/>
          <w:sz w:val="24"/>
          <w:szCs w:val="24"/>
          <w:lang w:val="es-VE"/>
        </w:rPr>
        <w:t xml:space="preserve"> un gran importador de productos agrícolas</w:t>
      </w:r>
      <w:r>
        <w:rPr>
          <w:rFonts w:ascii="Times New Roman" w:hAnsi="Times New Roman" w:cs="Times New Roman"/>
          <w:sz w:val="24"/>
          <w:szCs w:val="24"/>
          <w:lang w:val="es-VE"/>
        </w:rPr>
        <w:t>,</w:t>
      </w:r>
      <w:r w:rsidRPr="00C40DEE">
        <w:rPr>
          <w:rFonts w:ascii="Times New Roman" w:hAnsi="Times New Roman" w:cs="Times New Roman"/>
          <w:sz w:val="24"/>
          <w:szCs w:val="24"/>
          <w:lang w:val="es-VE"/>
        </w:rPr>
        <w:t xml:space="preserve"> que alcanzó un máximo de 9.300 millones de dólares en 2013. Desde que comenzó la crisis económica en 2015, las importaciones han disminuido considerablemente. Desde 2012, la economía venezolana ha perdido más del 80% de su PIB.</w:t>
      </w:r>
    </w:p>
    <w:p w14:paraId="5B4A1CCD" w14:textId="30A808A8" w:rsidR="00C40DEE" w:rsidRPr="00C40DEE" w:rsidRDefault="00C40DEE" w:rsidP="00C40DEE">
      <w:pPr>
        <w:rPr>
          <w:rFonts w:ascii="Times New Roman" w:hAnsi="Times New Roman" w:cs="Times New Roman"/>
          <w:sz w:val="24"/>
          <w:szCs w:val="24"/>
          <w:lang w:val="es-VE"/>
        </w:rPr>
      </w:pPr>
      <w:r w:rsidRPr="00C40DEE">
        <w:rPr>
          <w:rFonts w:ascii="Times New Roman" w:hAnsi="Times New Roman" w:cs="Times New Roman"/>
          <w:sz w:val="24"/>
          <w:szCs w:val="24"/>
          <w:lang w:val="es-VE"/>
        </w:rPr>
        <w:t xml:space="preserve">Durante 2021 la economía venezolana se estabilizó como resultado de </w:t>
      </w:r>
      <w:r>
        <w:rPr>
          <w:rFonts w:ascii="Times New Roman" w:hAnsi="Times New Roman" w:cs="Times New Roman"/>
          <w:sz w:val="24"/>
          <w:szCs w:val="24"/>
          <w:lang w:val="es-VE"/>
        </w:rPr>
        <w:t>una</w:t>
      </w:r>
      <w:r w:rsidRPr="00C40DEE">
        <w:rPr>
          <w:rFonts w:ascii="Times New Roman" w:hAnsi="Times New Roman" w:cs="Times New Roman"/>
          <w:sz w:val="24"/>
          <w:szCs w:val="24"/>
          <w:lang w:val="es-VE"/>
        </w:rPr>
        <w:t xml:space="preserve"> liberalización económica tácita, la dolarización informal y la reducción de la inflación. A su vez, la fuerte caída en los niveles de consumo ha comenzado a estabilizarse, </w:t>
      </w:r>
      <w:r w:rsidR="009F6C42">
        <w:rPr>
          <w:rFonts w:ascii="Times New Roman" w:hAnsi="Times New Roman" w:cs="Times New Roman"/>
          <w:sz w:val="24"/>
          <w:szCs w:val="24"/>
          <w:lang w:val="es-VE"/>
        </w:rPr>
        <w:t>creciendo incluso en</w:t>
      </w:r>
      <w:r w:rsidRPr="00C40DEE">
        <w:rPr>
          <w:rFonts w:ascii="Times New Roman" w:hAnsi="Times New Roman" w:cs="Times New Roman"/>
          <w:sz w:val="24"/>
          <w:szCs w:val="24"/>
          <w:lang w:val="es-VE"/>
        </w:rPr>
        <w:t xml:space="preserve"> </w:t>
      </w:r>
      <w:proofErr w:type="spellStart"/>
      <w:r w:rsidRPr="00C40DEE">
        <w:rPr>
          <w:rFonts w:ascii="Times New Roman" w:hAnsi="Times New Roman" w:cs="Times New Roman"/>
          <w:sz w:val="24"/>
          <w:szCs w:val="24"/>
          <w:lang w:val="es-VE"/>
        </w:rPr>
        <w:t>en</w:t>
      </w:r>
      <w:proofErr w:type="spellEnd"/>
      <w:r w:rsidRPr="00C40DEE">
        <w:rPr>
          <w:rFonts w:ascii="Times New Roman" w:hAnsi="Times New Roman" w:cs="Times New Roman"/>
          <w:sz w:val="24"/>
          <w:szCs w:val="24"/>
          <w:lang w:val="es-VE"/>
        </w:rPr>
        <w:t xml:space="preserve"> algunas categorías. </w:t>
      </w:r>
    </w:p>
    <w:p w14:paraId="3DC4A313" w14:textId="6B7ACD8C" w:rsidR="00C40DEE" w:rsidRPr="00C40DEE" w:rsidRDefault="00C40DEE" w:rsidP="00C40DEE">
      <w:pPr>
        <w:rPr>
          <w:rFonts w:ascii="Times New Roman" w:hAnsi="Times New Roman" w:cs="Times New Roman"/>
          <w:sz w:val="24"/>
          <w:szCs w:val="24"/>
          <w:lang w:val="es-VE"/>
        </w:rPr>
      </w:pPr>
      <w:r w:rsidRPr="00C40DEE">
        <w:rPr>
          <w:rFonts w:ascii="Times New Roman" w:hAnsi="Times New Roman" w:cs="Times New Roman"/>
          <w:sz w:val="24"/>
          <w:szCs w:val="24"/>
          <w:lang w:val="es-VE"/>
        </w:rPr>
        <w:t xml:space="preserve">Las importaciones </w:t>
      </w:r>
      <w:r w:rsidR="00634720">
        <w:rPr>
          <w:rFonts w:ascii="Times New Roman" w:hAnsi="Times New Roman" w:cs="Times New Roman"/>
          <w:sz w:val="24"/>
          <w:szCs w:val="24"/>
          <w:lang w:val="es-VE"/>
        </w:rPr>
        <w:t>agrícolas</w:t>
      </w:r>
      <w:r w:rsidRPr="00C40DEE">
        <w:rPr>
          <w:rFonts w:ascii="Times New Roman" w:hAnsi="Times New Roman" w:cs="Times New Roman"/>
          <w:sz w:val="24"/>
          <w:szCs w:val="24"/>
          <w:lang w:val="es-VE"/>
        </w:rPr>
        <w:t xml:space="preserve"> comenzaron a recuperarse en 2020, luego de alcanzar un mínimo histórico de 1.300 millones de dólares en 2019. </w:t>
      </w:r>
      <w:r>
        <w:rPr>
          <w:rFonts w:ascii="Times New Roman" w:hAnsi="Times New Roman" w:cs="Times New Roman"/>
          <w:sz w:val="24"/>
          <w:szCs w:val="24"/>
          <w:lang w:val="es-VE"/>
        </w:rPr>
        <w:t>Estas c</w:t>
      </w:r>
      <w:r w:rsidRPr="00C40DEE">
        <w:rPr>
          <w:rFonts w:ascii="Times New Roman" w:hAnsi="Times New Roman" w:cs="Times New Roman"/>
          <w:sz w:val="24"/>
          <w:szCs w:val="24"/>
          <w:lang w:val="es-VE"/>
        </w:rPr>
        <w:t>recieron un 39,4% en 2020 y un 33,1% en 2021. Sin embargo, incluso con esta recuperación, las importaciones solo han alcanzado el 26% del pico de importación de 2013.</w:t>
      </w:r>
    </w:p>
    <w:p w14:paraId="0DBBA09C" w14:textId="4A9D3573" w:rsidR="00B11A37" w:rsidRPr="00B11A37" w:rsidRDefault="00B11A37" w:rsidP="00B11A37">
      <w:pPr>
        <w:rPr>
          <w:rFonts w:ascii="Times New Roman" w:hAnsi="Times New Roman" w:cs="Times New Roman"/>
          <w:sz w:val="24"/>
          <w:szCs w:val="24"/>
          <w:lang w:val="es-VE"/>
        </w:rPr>
      </w:pPr>
      <w:r w:rsidRPr="00B11A37">
        <w:rPr>
          <w:rFonts w:ascii="Times New Roman" w:hAnsi="Times New Roman" w:cs="Times New Roman"/>
          <w:sz w:val="24"/>
          <w:szCs w:val="24"/>
          <w:lang w:val="es-VE"/>
        </w:rPr>
        <w:t>Unas mejores perspectivas económicas para 2022 hacen esperar al sector privado un modesto crecimiento tanto de la producción local como de las importaciones. Aunque el entorno económico parece positivo este año, el crecimiento económico seguirá viéndose limitado por el bajo poder adquisitivo general, la escasez de combustible y electricidad, el deterioro</w:t>
      </w:r>
      <w:r>
        <w:rPr>
          <w:rFonts w:ascii="Times New Roman" w:hAnsi="Times New Roman" w:cs="Times New Roman"/>
          <w:sz w:val="24"/>
          <w:szCs w:val="24"/>
          <w:lang w:val="es-VE"/>
        </w:rPr>
        <w:t xml:space="preserve"> general</w:t>
      </w:r>
      <w:r w:rsidRPr="00B11A37">
        <w:rPr>
          <w:rFonts w:ascii="Times New Roman" w:hAnsi="Times New Roman" w:cs="Times New Roman"/>
          <w:sz w:val="24"/>
          <w:szCs w:val="24"/>
          <w:lang w:val="es-VE"/>
        </w:rPr>
        <w:t xml:space="preserve"> de la infraestructura y la falta de </w:t>
      </w:r>
      <w:r>
        <w:rPr>
          <w:rFonts w:ascii="Times New Roman" w:hAnsi="Times New Roman" w:cs="Times New Roman"/>
          <w:sz w:val="24"/>
          <w:szCs w:val="24"/>
          <w:lang w:val="es-VE"/>
        </w:rPr>
        <w:t>financiamiento</w:t>
      </w:r>
      <w:r w:rsidRPr="00B11A37">
        <w:rPr>
          <w:rFonts w:ascii="Times New Roman" w:hAnsi="Times New Roman" w:cs="Times New Roman"/>
          <w:sz w:val="24"/>
          <w:szCs w:val="24"/>
          <w:lang w:val="es-VE"/>
        </w:rPr>
        <w:t>.</w:t>
      </w:r>
    </w:p>
    <w:p w14:paraId="001AA188" w14:textId="12D862A7" w:rsidR="00B11A37" w:rsidRDefault="00B11A37" w:rsidP="00B11A37">
      <w:pPr>
        <w:rPr>
          <w:rFonts w:ascii="Times New Roman" w:hAnsi="Times New Roman" w:cs="Times New Roman"/>
          <w:sz w:val="24"/>
          <w:szCs w:val="24"/>
          <w:lang w:val="es-VE"/>
        </w:rPr>
      </w:pPr>
      <w:r w:rsidRPr="00B11A37">
        <w:rPr>
          <w:rFonts w:ascii="Times New Roman" w:hAnsi="Times New Roman" w:cs="Times New Roman"/>
          <w:sz w:val="24"/>
          <w:szCs w:val="24"/>
          <w:lang w:val="es-VE"/>
        </w:rPr>
        <w:t xml:space="preserve">En la actualidad, al menos el 60% de los alimentos disponibles en Venezuela se importan en forma de materias primas y productos </w:t>
      </w:r>
      <w:r>
        <w:rPr>
          <w:rFonts w:ascii="Times New Roman" w:hAnsi="Times New Roman" w:cs="Times New Roman"/>
          <w:sz w:val="24"/>
          <w:szCs w:val="24"/>
          <w:lang w:val="es-VE"/>
        </w:rPr>
        <w:t>terminados</w:t>
      </w:r>
      <w:r w:rsidRPr="00B11A37">
        <w:rPr>
          <w:rFonts w:ascii="Times New Roman" w:hAnsi="Times New Roman" w:cs="Times New Roman"/>
          <w:sz w:val="24"/>
          <w:szCs w:val="24"/>
          <w:lang w:val="es-VE"/>
        </w:rPr>
        <w:t xml:space="preserve">, lo que hace que el país sea especialmente vulnerable a las perturbaciones externas, como </w:t>
      </w:r>
      <w:r>
        <w:rPr>
          <w:rFonts w:ascii="Times New Roman" w:hAnsi="Times New Roman" w:cs="Times New Roman"/>
          <w:sz w:val="24"/>
          <w:szCs w:val="24"/>
          <w:lang w:val="es-VE"/>
        </w:rPr>
        <w:t>el aumento súbito y significativo en</w:t>
      </w:r>
      <w:r w:rsidRPr="00B11A37">
        <w:rPr>
          <w:rFonts w:ascii="Times New Roman" w:hAnsi="Times New Roman" w:cs="Times New Roman"/>
          <w:sz w:val="24"/>
          <w:szCs w:val="24"/>
          <w:lang w:val="es-VE"/>
        </w:rPr>
        <w:t xml:space="preserve"> los precios internacionales de los productos agrícolas.</w:t>
      </w:r>
    </w:p>
    <w:p w14:paraId="3A0FE463" w14:textId="47623D3E" w:rsidR="00C40871" w:rsidRPr="00C40871" w:rsidRDefault="00C40871" w:rsidP="00C40871">
      <w:pPr>
        <w:rPr>
          <w:rFonts w:ascii="Times New Roman" w:hAnsi="Times New Roman" w:cs="Times New Roman"/>
          <w:b/>
          <w:bCs/>
          <w:sz w:val="24"/>
          <w:szCs w:val="24"/>
          <w:lang w:val="es-VE"/>
        </w:rPr>
      </w:pPr>
      <w:r w:rsidRPr="00C40871">
        <w:rPr>
          <w:rFonts w:ascii="Times New Roman" w:hAnsi="Times New Roman" w:cs="Times New Roman"/>
          <w:b/>
          <w:bCs/>
          <w:sz w:val="24"/>
          <w:szCs w:val="24"/>
          <w:lang w:val="es-VE"/>
        </w:rPr>
        <w:t xml:space="preserve">Figura 1. Importaciones </w:t>
      </w:r>
      <w:r w:rsidR="00DE1DFA" w:rsidRPr="00C40871">
        <w:rPr>
          <w:rFonts w:ascii="Times New Roman" w:hAnsi="Times New Roman" w:cs="Times New Roman"/>
          <w:b/>
          <w:bCs/>
          <w:sz w:val="24"/>
          <w:szCs w:val="24"/>
          <w:lang w:val="es-VE"/>
        </w:rPr>
        <w:t>Agrícolas</w:t>
      </w:r>
      <w:r w:rsidRPr="00C40871">
        <w:rPr>
          <w:rFonts w:ascii="Times New Roman" w:hAnsi="Times New Roman" w:cs="Times New Roman"/>
          <w:b/>
          <w:bCs/>
          <w:sz w:val="24"/>
          <w:szCs w:val="24"/>
          <w:lang w:val="es-VE"/>
        </w:rPr>
        <w:t xml:space="preserve"> Venezolanas (</w:t>
      </w:r>
      <w:r>
        <w:rPr>
          <w:rFonts w:ascii="Times New Roman" w:hAnsi="Times New Roman" w:cs="Times New Roman"/>
          <w:b/>
          <w:bCs/>
          <w:sz w:val="24"/>
          <w:szCs w:val="24"/>
          <w:lang w:val="es-VE"/>
        </w:rPr>
        <w:t xml:space="preserve">Millones de </w:t>
      </w:r>
      <w:r w:rsidRPr="00C40871">
        <w:rPr>
          <w:rFonts w:ascii="Times New Roman" w:hAnsi="Times New Roman" w:cs="Times New Roman"/>
          <w:b/>
          <w:bCs/>
          <w:sz w:val="24"/>
          <w:szCs w:val="24"/>
          <w:lang w:val="es-VE"/>
        </w:rPr>
        <w:t>USD) 2010 - 2021</w:t>
      </w:r>
    </w:p>
    <w:p w14:paraId="124D67B4" w14:textId="7B8D6704" w:rsidR="00C40871" w:rsidRDefault="00C40871" w:rsidP="00B11A37">
      <w:pPr>
        <w:rPr>
          <w:rFonts w:ascii="Times New Roman" w:hAnsi="Times New Roman" w:cs="Times New Roman"/>
          <w:sz w:val="24"/>
          <w:szCs w:val="24"/>
          <w:lang w:val="es-VE"/>
        </w:rPr>
      </w:pPr>
      <w:r>
        <w:rPr>
          <w:b/>
          <w:bCs/>
          <w:noProof/>
          <w:color w:val="FF0000"/>
        </w:rPr>
        <w:drawing>
          <wp:inline distT="0" distB="0" distL="0" distR="0" wp14:anchorId="49127CA5" wp14:editId="64D39A9B">
            <wp:extent cx="5486400" cy="2797675"/>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F9189C" w14:textId="476074AF" w:rsidR="00C40871" w:rsidRPr="00F439F6" w:rsidRDefault="00C40871" w:rsidP="00C40871">
      <w:pPr>
        <w:rPr>
          <w:rFonts w:ascii="Times New Roman" w:hAnsi="Times New Roman" w:cs="Times New Roman"/>
          <w:i/>
          <w:iCs/>
          <w:sz w:val="16"/>
          <w:szCs w:val="16"/>
          <w:lang w:val="es-VE"/>
        </w:rPr>
      </w:pPr>
      <w:r w:rsidRPr="00F439F6">
        <w:rPr>
          <w:rFonts w:ascii="Times New Roman" w:hAnsi="Times New Roman" w:cs="Times New Roman"/>
          <w:i/>
          <w:iCs/>
          <w:sz w:val="16"/>
          <w:szCs w:val="16"/>
          <w:lang w:val="es-VE"/>
        </w:rPr>
        <w:t xml:space="preserve">Fuente: </w:t>
      </w:r>
      <w:proofErr w:type="spellStart"/>
      <w:r w:rsidRPr="00F439F6">
        <w:rPr>
          <w:rFonts w:ascii="Times New Roman" w:hAnsi="Times New Roman" w:cs="Times New Roman"/>
          <w:i/>
          <w:iCs/>
          <w:sz w:val="16"/>
          <w:szCs w:val="16"/>
          <w:lang w:val="es-VE"/>
        </w:rPr>
        <w:t>Trade</w:t>
      </w:r>
      <w:proofErr w:type="spellEnd"/>
      <w:r w:rsidRPr="00F439F6">
        <w:rPr>
          <w:rFonts w:ascii="Times New Roman" w:hAnsi="Times New Roman" w:cs="Times New Roman"/>
          <w:i/>
          <w:iCs/>
          <w:sz w:val="16"/>
          <w:szCs w:val="16"/>
          <w:lang w:val="es-VE"/>
        </w:rPr>
        <w:t xml:space="preserve"> Data Monitor. </w:t>
      </w:r>
    </w:p>
    <w:p w14:paraId="045300EE" w14:textId="1A567353" w:rsidR="00F439F6" w:rsidRPr="00F439F6" w:rsidRDefault="00F439F6" w:rsidP="00F439F6">
      <w:pPr>
        <w:rPr>
          <w:rFonts w:ascii="Times New Roman" w:hAnsi="Times New Roman" w:cs="Times New Roman"/>
          <w:b/>
          <w:bCs/>
          <w:sz w:val="24"/>
          <w:szCs w:val="24"/>
          <w:lang w:val="es-VE"/>
        </w:rPr>
      </w:pPr>
      <w:r w:rsidRPr="00F439F6">
        <w:rPr>
          <w:rFonts w:ascii="Times New Roman" w:hAnsi="Times New Roman" w:cs="Times New Roman"/>
          <w:b/>
          <w:bCs/>
          <w:sz w:val="24"/>
          <w:szCs w:val="24"/>
          <w:lang w:val="es-VE"/>
        </w:rPr>
        <w:lastRenderedPageBreak/>
        <w:t>Las Importaciones Agrícolas Venezolanas en 2021.</w:t>
      </w:r>
    </w:p>
    <w:p w14:paraId="54AD5E04" w14:textId="38845F2D" w:rsidR="00F439F6" w:rsidRPr="003D4A51" w:rsidRDefault="00F439F6" w:rsidP="00F439F6">
      <w:pPr>
        <w:rPr>
          <w:rFonts w:ascii="Times New Roman" w:hAnsi="Times New Roman" w:cs="Times New Roman"/>
          <w:sz w:val="24"/>
          <w:szCs w:val="24"/>
          <w:lang w:val="es-VE"/>
        </w:rPr>
      </w:pPr>
      <w:r w:rsidRPr="003D4A51">
        <w:rPr>
          <w:rFonts w:ascii="Times New Roman" w:hAnsi="Times New Roman" w:cs="Times New Roman"/>
          <w:sz w:val="24"/>
          <w:szCs w:val="24"/>
          <w:lang w:val="es-VE"/>
        </w:rPr>
        <w:t>En 2021, las importaciones agrícolas venezolanas sumaron 2.</w:t>
      </w:r>
      <w:r>
        <w:rPr>
          <w:rFonts w:ascii="Times New Roman" w:hAnsi="Times New Roman" w:cs="Times New Roman"/>
          <w:sz w:val="24"/>
          <w:szCs w:val="24"/>
          <w:lang w:val="es-VE"/>
        </w:rPr>
        <w:t>463</w:t>
      </w:r>
      <w:r w:rsidRPr="003D4A51">
        <w:rPr>
          <w:rFonts w:ascii="Times New Roman" w:hAnsi="Times New Roman" w:cs="Times New Roman"/>
          <w:sz w:val="24"/>
          <w:szCs w:val="24"/>
          <w:lang w:val="es-VE"/>
        </w:rPr>
        <w:t xml:space="preserve"> millones de dólares, un 33,1% más que en 2020. La categoría de productos que más creció fue la de productos </w:t>
      </w:r>
      <w:r>
        <w:rPr>
          <w:rFonts w:ascii="Times New Roman" w:hAnsi="Times New Roman" w:cs="Times New Roman"/>
          <w:sz w:val="24"/>
          <w:szCs w:val="24"/>
          <w:lang w:val="es-VE"/>
        </w:rPr>
        <w:t xml:space="preserve">de consumo </w:t>
      </w:r>
      <w:r w:rsidR="00634720">
        <w:rPr>
          <w:rFonts w:ascii="Times New Roman" w:hAnsi="Times New Roman" w:cs="Times New Roman"/>
          <w:sz w:val="24"/>
          <w:szCs w:val="24"/>
          <w:lang w:val="es-VE"/>
        </w:rPr>
        <w:t>final</w:t>
      </w:r>
      <w:r w:rsidRPr="003D4A51">
        <w:rPr>
          <w:rFonts w:ascii="Times New Roman" w:hAnsi="Times New Roman" w:cs="Times New Roman"/>
          <w:sz w:val="24"/>
          <w:szCs w:val="24"/>
          <w:lang w:val="es-VE"/>
        </w:rPr>
        <w:t xml:space="preserve">, alcanzando 743,9 millones de dólares en 2021 (un aumento del 58,2 por ciento). Los productos intermedios siguen constituyendo la mayoría de las importaciones.  </w:t>
      </w:r>
    </w:p>
    <w:p w14:paraId="2CA28EE1" w14:textId="3BBE849B" w:rsidR="0036645F" w:rsidRDefault="0036645F" w:rsidP="0036645F">
      <w:pPr>
        <w:rPr>
          <w:rFonts w:ascii="Times New Roman" w:hAnsi="Times New Roman" w:cs="Times New Roman"/>
          <w:b/>
          <w:bCs/>
          <w:sz w:val="24"/>
          <w:szCs w:val="24"/>
          <w:lang w:val="es-VE"/>
        </w:rPr>
      </w:pPr>
      <w:r w:rsidRPr="00B23FC5">
        <w:rPr>
          <w:rFonts w:ascii="Times New Roman" w:hAnsi="Times New Roman" w:cs="Times New Roman"/>
          <w:b/>
          <w:bCs/>
          <w:sz w:val="24"/>
          <w:szCs w:val="24"/>
          <w:lang w:val="es-VE"/>
        </w:rPr>
        <w:t xml:space="preserve">Figura 2. </w:t>
      </w:r>
      <w:bookmarkStart w:id="0" w:name="_Hlk100586544"/>
      <w:r w:rsidRPr="0036645F">
        <w:rPr>
          <w:rFonts w:ascii="Times New Roman" w:hAnsi="Times New Roman" w:cs="Times New Roman"/>
          <w:b/>
          <w:bCs/>
          <w:sz w:val="24"/>
          <w:szCs w:val="24"/>
          <w:lang w:val="es-VE"/>
        </w:rPr>
        <w:t xml:space="preserve">Importaciones Agrícolas Venezolanas </w:t>
      </w:r>
      <w:bookmarkEnd w:id="0"/>
      <w:r w:rsidRPr="0036645F">
        <w:rPr>
          <w:rFonts w:ascii="Times New Roman" w:hAnsi="Times New Roman" w:cs="Times New Roman"/>
          <w:b/>
          <w:bCs/>
          <w:sz w:val="24"/>
          <w:szCs w:val="24"/>
          <w:lang w:val="es-VE"/>
        </w:rPr>
        <w:t xml:space="preserve">en 2021 </w:t>
      </w:r>
      <w:r w:rsidR="00B23FC5" w:rsidRPr="0036645F">
        <w:rPr>
          <w:rFonts w:ascii="Times New Roman" w:hAnsi="Times New Roman" w:cs="Times New Roman"/>
          <w:b/>
          <w:bCs/>
          <w:sz w:val="24"/>
          <w:szCs w:val="24"/>
          <w:lang w:val="es-VE"/>
        </w:rPr>
        <w:t>según</w:t>
      </w:r>
      <w:r w:rsidRPr="0036645F">
        <w:rPr>
          <w:rFonts w:ascii="Times New Roman" w:hAnsi="Times New Roman" w:cs="Times New Roman"/>
          <w:b/>
          <w:bCs/>
          <w:sz w:val="24"/>
          <w:szCs w:val="24"/>
          <w:lang w:val="es-VE"/>
        </w:rPr>
        <w:t xml:space="preserve"> Valor y </w:t>
      </w:r>
      <w:r w:rsidR="00B23FC5" w:rsidRPr="0036645F">
        <w:rPr>
          <w:rFonts w:ascii="Times New Roman" w:hAnsi="Times New Roman" w:cs="Times New Roman"/>
          <w:b/>
          <w:bCs/>
          <w:sz w:val="24"/>
          <w:szCs w:val="24"/>
          <w:lang w:val="es-VE"/>
        </w:rPr>
        <w:t>Ca</w:t>
      </w:r>
      <w:r w:rsidR="00B23FC5">
        <w:rPr>
          <w:rFonts w:ascii="Times New Roman" w:hAnsi="Times New Roman" w:cs="Times New Roman"/>
          <w:b/>
          <w:bCs/>
          <w:sz w:val="24"/>
          <w:szCs w:val="24"/>
          <w:lang w:val="es-VE"/>
        </w:rPr>
        <w:t>tegoría</w:t>
      </w:r>
      <w:r w:rsidRPr="0036645F">
        <w:rPr>
          <w:rFonts w:ascii="Times New Roman" w:hAnsi="Times New Roman" w:cs="Times New Roman"/>
          <w:b/>
          <w:bCs/>
          <w:sz w:val="24"/>
          <w:szCs w:val="24"/>
          <w:lang w:val="es-VE"/>
        </w:rPr>
        <w:t xml:space="preserve">, </w:t>
      </w:r>
      <w:r>
        <w:rPr>
          <w:rFonts w:ascii="Times New Roman" w:hAnsi="Times New Roman" w:cs="Times New Roman"/>
          <w:b/>
          <w:bCs/>
          <w:sz w:val="24"/>
          <w:szCs w:val="24"/>
          <w:lang w:val="es-VE"/>
        </w:rPr>
        <w:t>Global</w:t>
      </w:r>
      <w:r w:rsidRPr="0036645F">
        <w:rPr>
          <w:rFonts w:ascii="Times New Roman" w:hAnsi="Times New Roman" w:cs="Times New Roman"/>
          <w:b/>
          <w:bCs/>
          <w:sz w:val="24"/>
          <w:szCs w:val="24"/>
          <w:lang w:val="es-VE"/>
        </w:rPr>
        <w:t xml:space="preserve"> </w:t>
      </w:r>
      <w:r w:rsidR="00B23FC5">
        <w:rPr>
          <w:rFonts w:ascii="Times New Roman" w:hAnsi="Times New Roman" w:cs="Times New Roman"/>
          <w:b/>
          <w:bCs/>
          <w:sz w:val="24"/>
          <w:szCs w:val="24"/>
          <w:lang w:val="es-VE"/>
        </w:rPr>
        <w:t>vs.</w:t>
      </w:r>
      <w:r w:rsidRPr="0036645F">
        <w:rPr>
          <w:rFonts w:ascii="Times New Roman" w:hAnsi="Times New Roman" w:cs="Times New Roman"/>
          <w:b/>
          <w:bCs/>
          <w:sz w:val="24"/>
          <w:szCs w:val="24"/>
          <w:lang w:val="es-VE"/>
        </w:rPr>
        <w:t xml:space="preserve"> </w:t>
      </w:r>
      <w:r>
        <w:rPr>
          <w:rFonts w:ascii="Times New Roman" w:hAnsi="Times New Roman" w:cs="Times New Roman"/>
          <w:b/>
          <w:bCs/>
          <w:sz w:val="24"/>
          <w:szCs w:val="24"/>
          <w:lang w:val="es-VE"/>
        </w:rPr>
        <w:t>los Estados Unidos</w:t>
      </w:r>
      <w:r w:rsidR="00F77F62">
        <w:rPr>
          <w:rFonts w:ascii="Times New Roman" w:hAnsi="Times New Roman" w:cs="Times New Roman"/>
          <w:noProof/>
          <w:sz w:val="24"/>
          <w:szCs w:val="24"/>
          <w:lang w:val="es-VE"/>
        </w:rPr>
        <w:drawing>
          <wp:inline distT="0" distB="0" distL="0" distR="0" wp14:anchorId="01BC7B44" wp14:editId="261E2D85">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A135C3" w14:textId="77777777" w:rsidR="00B23FC5" w:rsidRPr="00F439F6" w:rsidRDefault="00B23FC5" w:rsidP="00B23FC5">
      <w:pPr>
        <w:rPr>
          <w:rFonts w:ascii="Times New Roman" w:hAnsi="Times New Roman" w:cs="Times New Roman"/>
          <w:i/>
          <w:iCs/>
          <w:sz w:val="16"/>
          <w:szCs w:val="16"/>
          <w:lang w:val="es-VE"/>
        </w:rPr>
      </w:pPr>
      <w:r w:rsidRPr="00F439F6">
        <w:rPr>
          <w:rFonts w:ascii="Times New Roman" w:hAnsi="Times New Roman" w:cs="Times New Roman"/>
          <w:i/>
          <w:iCs/>
          <w:sz w:val="16"/>
          <w:szCs w:val="16"/>
          <w:lang w:val="es-VE"/>
        </w:rPr>
        <w:t xml:space="preserve">Fuente: </w:t>
      </w:r>
      <w:proofErr w:type="spellStart"/>
      <w:r w:rsidRPr="00F439F6">
        <w:rPr>
          <w:rFonts w:ascii="Times New Roman" w:hAnsi="Times New Roman" w:cs="Times New Roman"/>
          <w:i/>
          <w:iCs/>
          <w:sz w:val="16"/>
          <w:szCs w:val="16"/>
          <w:lang w:val="es-VE"/>
        </w:rPr>
        <w:t>Trade</w:t>
      </w:r>
      <w:proofErr w:type="spellEnd"/>
      <w:r w:rsidRPr="00F439F6">
        <w:rPr>
          <w:rFonts w:ascii="Times New Roman" w:hAnsi="Times New Roman" w:cs="Times New Roman"/>
          <w:i/>
          <w:iCs/>
          <w:sz w:val="16"/>
          <w:szCs w:val="16"/>
          <w:lang w:val="es-VE"/>
        </w:rPr>
        <w:t xml:space="preserve"> Data Monitor. </w:t>
      </w:r>
    </w:p>
    <w:p w14:paraId="7AB5F807" w14:textId="522C4F2F" w:rsidR="00C40871" w:rsidRDefault="00541488" w:rsidP="00B11A37">
      <w:pPr>
        <w:rPr>
          <w:rFonts w:ascii="Times New Roman" w:hAnsi="Times New Roman" w:cs="Times New Roman"/>
          <w:sz w:val="24"/>
          <w:szCs w:val="24"/>
          <w:lang w:val="es-VE"/>
        </w:rPr>
      </w:pPr>
      <w:r w:rsidRPr="00541488">
        <w:rPr>
          <w:rFonts w:ascii="Times New Roman" w:hAnsi="Times New Roman" w:cs="Times New Roman"/>
          <w:sz w:val="24"/>
          <w:szCs w:val="24"/>
          <w:lang w:val="es-VE"/>
        </w:rPr>
        <w:t>Los productos más importados durante 2021 fueron aceite de so</w:t>
      </w:r>
      <w:r>
        <w:rPr>
          <w:rFonts w:ascii="Times New Roman" w:hAnsi="Times New Roman" w:cs="Times New Roman"/>
          <w:sz w:val="24"/>
          <w:szCs w:val="24"/>
          <w:lang w:val="es-VE"/>
        </w:rPr>
        <w:t>y</w:t>
      </w:r>
      <w:r w:rsidRPr="00541488">
        <w:rPr>
          <w:rFonts w:ascii="Times New Roman" w:hAnsi="Times New Roman" w:cs="Times New Roman"/>
          <w:sz w:val="24"/>
          <w:szCs w:val="24"/>
          <w:lang w:val="es-VE"/>
        </w:rPr>
        <w:t>a, productos de panadería y pastas alimenticias, maíz, trigo, azúcar, arroz, harina de so</w:t>
      </w:r>
      <w:r>
        <w:rPr>
          <w:rFonts w:ascii="Times New Roman" w:hAnsi="Times New Roman" w:cs="Times New Roman"/>
          <w:sz w:val="24"/>
          <w:szCs w:val="24"/>
          <w:lang w:val="es-VE"/>
        </w:rPr>
        <w:t>y</w:t>
      </w:r>
      <w:r w:rsidRPr="00541488">
        <w:rPr>
          <w:rFonts w:ascii="Times New Roman" w:hAnsi="Times New Roman" w:cs="Times New Roman"/>
          <w:sz w:val="24"/>
          <w:szCs w:val="24"/>
          <w:lang w:val="es-VE"/>
        </w:rPr>
        <w:t>a, granos molidos, productos lácteos y sopas/preparaciones alimenticias. Estos diez productos representaron el 74,6% de las importaciones agrícolas venezolanas en 2021.</w:t>
      </w:r>
    </w:p>
    <w:p w14:paraId="08E6A029" w14:textId="0CEB7301" w:rsidR="000B5581" w:rsidRDefault="000B5581" w:rsidP="00B11A37">
      <w:pPr>
        <w:rPr>
          <w:rFonts w:ascii="Times New Roman" w:hAnsi="Times New Roman" w:cs="Times New Roman"/>
          <w:sz w:val="24"/>
          <w:szCs w:val="24"/>
          <w:lang w:val="es-VE"/>
        </w:rPr>
      </w:pPr>
      <w:r w:rsidRPr="000B5581">
        <w:rPr>
          <w:rFonts w:ascii="Times New Roman" w:hAnsi="Times New Roman" w:cs="Times New Roman"/>
          <w:sz w:val="24"/>
          <w:szCs w:val="24"/>
          <w:lang w:val="es-VE"/>
        </w:rPr>
        <w:t>Los principales proveedores por valor fueron Brasil (37,9% de cuota de mercado), Estados Unidos (25,7% de cuota de mercado) y Turquía (9,1% de cuota de mercado). Si se compara la cuota de mercado por volumen, Estados Unidos fue el mayor proveedor de productos agrícolas y alimentarios, con un 35,3%, seguido de Brasil, con un 29,4%.</w:t>
      </w:r>
    </w:p>
    <w:p w14:paraId="3FA7B79E" w14:textId="0BB799C3" w:rsidR="00491FB6" w:rsidRDefault="00491FB6" w:rsidP="00B11A37">
      <w:pPr>
        <w:rPr>
          <w:rFonts w:ascii="Times New Roman" w:hAnsi="Times New Roman" w:cs="Times New Roman"/>
          <w:sz w:val="24"/>
          <w:szCs w:val="24"/>
          <w:lang w:val="es-VE"/>
        </w:rPr>
      </w:pPr>
      <w:r w:rsidRPr="00491FB6">
        <w:rPr>
          <w:rFonts w:ascii="Times New Roman" w:hAnsi="Times New Roman" w:cs="Times New Roman"/>
          <w:sz w:val="24"/>
          <w:szCs w:val="24"/>
          <w:lang w:val="es-VE"/>
        </w:rPr>
        <w:t xml:space="preserve">En 2021, las importaciones agrícolas venezolanas cayeron un 5,1% en volumen debido a un importante aumento de los precios de los productos </w:t>
      </w:r>
      <w:r>
        <w:rPr>
          <w:rFonts w:ascii="Times New Roman" w:hAnsi="Times New Roman" w:cs="Times New Roman"/>
          <w:sz w:val="24"/>
          <w:szCs w:val="24"/>
          <w:lang w:val="es-VE"/>
        </w:rPr>
        <w:t>agrícolas y de los alimentos</w:t>
      </w:r>
      <w:r w:rsidRPr="00491FB6">
        <w:rPr>
          <w:rFonts w:ascii="Times New Roman" w:hAnsi="Times New Roman" w:cs="Times New Roman"/>
          <w:sz w:val="24"/>
          <w:szCs w:val="24"/>
          <w:lang w:val="es-VE"/>
        </w:rPr>
        <w:t>. Venezuela pagó un 38 por ciento más por el mismo volumen de productos en comparación con el año anterior.</w:t>
      </w:r>
    </w:p>
    <w:p w14:paraId="39374F72" w14:textId="19EF9571" w:rsidR="00491FB6" w:rsidRDefault="00491FB6" w:rsidP="00B11A37">
      <w:pPr>
        <w:rPr>
          <w:rFonts w:ascii="Times New Roman" w:hAnsi="Times New Roman" w:cs="Times New Roman"/>
          <w:sz w:val="24"/>
          <w:szCs w:val="24"/>
          <w:lang w:val="es-VE"/>
        </w:rPr>
      </w:pPr>
    </w:p>
    <w:p w14:paraId="1744DF67" w14:textId="483B339B" w:rsidR="00491FB6" w:rsidRDefault="00491FB6" w:rsidP="00B11A37">
      <w:pPr>
        <w:rPr>
          <w:rFonts w:ascii="Times New Roman" w:hAnsi="Times New Roman" w:cs="Times New Roman"/>
          <w:sz w:val="24"/>
          <w:szCs w:val="24"/>
          <w:lang w:val="es-VE"/>
        </w:rPr>
      </w:pPr>
    </w:p>
    <w:p w14:paraId="22379C33" w14:textId="4A7010AA" w:rsidR="00491FB6" w:rsidRDefault="00491FB6" w:rsidP="00B11A37">
      <w:pPr>
        <w:rPr>
          <w:rFonts w:ascii="Times New Roman" w:hAnsi="Times New Roman" w:cs="Times New Roman"/>
          <w:sz w:val="24"/>
          <w:szCs w:val="24"/>
          <w:lang w:val="es-VE"/>
        </w:rPr>
      </w:pPr>
    </w:p>
    <w:p w14:paraId="5204B6CC" w14:textId="4D12DB91" w:rsidR="00634720" w:rsidRPr="00634720" w:rsidRDefault="00634720" w:rsidP="00634720">
      <w:pPr>
        <w:rPr>
          <w:rFonts w:ascii="Times New Roman" w:hAnsi="Times New Roman" w:cs="Times New Roman"/>
          <w:b/>
          <w:bCs/>
          <w:sz w:val="24"/>
          <w:szCs w:val="24"/>
          <w:lang w:val="es-VE"/>
        </w:rPr>
      </w:pPr>
      <w:r w:rsidRPr="00634720">
        <w:rPr>
          <w:rFonts w:ascii="Times New Roman" w:hAnsi="Times New Roman" w:cs="Times New Roman"/>
          <w:b/>
          <w:bCs/>
          <w:sz w:val="24"/>
          <w:szCs w:val="24"/>
          <w:lang w:val="es-VE"/>
        </w:rPr>
        <w:lastRenderedPageBreak/>
        <w:t xml:space="preserve">Tabla 1. Importaciones Agrícolas Venezolanas </w:t>
      </w:r>
      <w:r>
        <w:rPr>
          <w:rFonts w:ascii="Times New Roman" w:hAnsi="Times New Roman" w:cs="Times New Roman"/>
          <w:b/>
          <w:bCs/>
          <w:sz w:val="24"/>
          <w:szCs w:val="24"/>
          <w:lang w:val="es-VE"/>
        </w:rPr>
        <w:t xml:space="preserve">según </w:t>
      </w:r>
      <w:r w:rsidR="00944B87">
        <w:rPr>
          <w:rFonts w:ascii="Times New Roman" w:hAnsi="Times New Roman" w:cs="Times New Roman"/>
          <w:b/>
          <w:bCs/>
          <w:sz w:val="24"/>
          <w:szCs w:val="24"/>
          <w:lang w:val="es-VE"/>
        </w:rPr>
        <w:t>Categoría</w:t>
      </w:r>
      <w:r w:rsidRPr="00634720">
        <w:rPr>
          <w:rFonts w:ascii="Times New Roman" w:hAnsi="Times New Roman" w:cs="Times New Roman"/>
          <w:b/>
          <w:bCs/>
          <w:sz w:val="24"/>
          <w:szCs w:val="24"/>
          <w:lang w:val="es-VE"/>
        </w:rPr>
        <w:t xml:space="preserve"> 2020 vs. 2021</w:t>
      </w:r>
      <w:r w:rsidR="00800F6F">
        <w:rPr>
          <w:rFonts w:ascii="Times New Roman" w:hAnsi="Times New Roman" w:cs="Times New Roman"/>
          <w:b/>
          <w:bCs/>
          <w:sz w:val="24"/>
          <w:szCs w:val="24"/>
          <w:lang w:val="es-VE"/>
        </w:rPr>
        <w:t xml:space="preserve">. </w:t>
      </w:r>
      <w:r w:rsidR="00800F6F" w:rsidRPr="00634720">
        <w:rPr>
          <w:rFonts w:ascii="Times New Roman" w:hAnsi="Times New Roman" w:cs="Times New Roman"/>
          <w:b/>
          <w:bCs/>
          <w:sz w:val="24"/>
          <w:szCs w:val="24"/>
          <w:lang w:val="es-VE"/>
        </w:rPr>
        <w:t xml:space="preserve">(Millones de USD) </w:t>
      </w:r>
      <w:r w:rsidR="00800F6F">
        <w:rPr>
          <w:rFonts w:ascii="Times New Roman" w:hAnsi="Times New Roman" w:cs="Times New Roman"/>
          <w:b/>
          <w:bCs/>
          <w:sz w:val="24"/>
          <w:szCs w:val="24"/>
          <w:lang w:val="es-VE"/>
        </w:rPr>
        <w:t xml:space="preserve">       </w:t>
      </w:r>
    </w:p>
    <w:tbl>
      <w:tblPr>
        <w:tblStyle w:val="GridTable4-Accent3"/>
        <w:tblW w:w="0" w:type="auto"/>
        <w:tblLook w:val="04A0" w:firstRow="1" w:lastRow="0" w:firstColumn="1" w:lastColumn="0" w:noHBand="0" w:noVBand="1"/>
      </w:tblPr>
      <w:tblGrid>
        <w:gridCol w:w="2457"/>
        <w:gridCol w:w="936"/>
        <w:gridCol w:w="936"/>
        <w:gridCol w:w="1390"/>
        <w:gridCol w:w="839"/>
        <w:gridCol w:w="2792"/>
      </w:tblGrid>
      <w:tr w:rsidR="00A60F5C" w:rsidRPr="00B65708" w14:paraId="7810FC3C" w14:textId="77777777" w:rsidTr="00A60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E59139" w14:textId="55832A38" w:rsidR="00634720" w:rsidRPr="00430B91" w:rsidRDefault="00634720" w:rsidP="00AB141B">
            <w:pPr>
              <w:rPr>
                <w:rFonts w:ascii="Times New Roman" w:hAnsi="Times New Roman" w:cs="Times New Roman"/>
                <w:sz w:val="24"/>
                <w:szCs w:val="24"/>
                <w:lang w:val="es-VE"/>
              </w:rPr>
            </w:pPr>
            <w:r>
              <w:rPr>
                <w:rFonts w:ascii="Times New Roman" w:hAnsi="Times New Roman" w:cs="Times New Roman"/>
                <w:sz w:val="24"/>
                <w:szCs w:val="24"/>
                <w:lang w:val="es-VE"/>
              </w:rPr>
              <w:t>Categoría</w:t>
            </w:r>
          </w:p>
        </w:tc>
        <w:tc>
          <w:tcPr>
            <w:tcW w:w="0" w:type="auto"/>
            <w:vAlign w:val="center"/>
          </w:tcPr>
          <w:p w14:paraId="1700EB69" w14:textId="77777777" w:rsidR="00634720" w:rsidRPr="00430B91" w:rsidRDefault="00634720" w:rsidP="00AB141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VE"/>
              </w:rPr>
            </w:pPr>
            <w:r w:rsidRPr="00430B91">
              <w:rPr>
                <w:rFonts w:ascii="Times New Roman" w:hAnsi="Times New Roman" w:cs="Times New Roman"/>
                <w:sz w:val="24"/>
                <w:szCs w:val="24"/>
                <w:lang w:val="es-VE"/>
              </w:rPr>
              <w:t>2020</w:t>
            </w:r>
          </w:p>
        </w:tc>
        <w:tc>
          <w:tcPr>
            <w:tcW w:w="0" w:type="auto"/>
            <w:vAlign w:val="center"/>
          </w:tcPr>
          <w:p w14:paraId="1953DB5C" w14:textId="77777777" w:rsidR="00634720" w:rsidRPr="00430B91" w:rsidRDefault="00634720" w:rsidP="00AB141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VE"/>
              </w:rPr>
            </w:pPr>
            <w:r w:rsidRPr="00430B91">
              <w:rPr>
                <w:rFonts w:ascii="Times New Roman" w:hAnsi="Times New Roman" w:cs="Times New Roman"/>
                <w:sz w:val="24"/>
                <w:szCs w:val="24"/>
                <w:lang w:val="es-VE"/>
              </w:rPr>
              <w:t xml:space="preserve">2021 </w:t>
            </w:r>
          </w:p>
        </w:tc>
        <w:tc>
          <w:tcPr>
            <w:tcW w:w="0" w:type="auto"/>
            <w:vAlign w:val="center"/>
          </w:tcPr>
          <w:p w14:paraId="33941794" w14:textId="77777777" w:rsidR="00634720" w:rsidRDefault="00634720" w:rsidP="00AB141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s-VE"/>
              </w:rPr>
            </w:pPr>
            <w:r>
              <w:rPr>
                <w:rFonts w:ascii="Times New Roman" w:hAnsi="Times New Roman" w:cs="Times New Roman"/>
                <w:sz w:val="24"/>
                <w:szCs w:val="24"/>
                <w:lang w:val="es-VE"/>
              </w:rPr>
              <w:t>VAR</w:t>
            </w:r>
            <w:r w:rsidRPr="00430B91">
              <w:rPr>
                <w:rFonts w:ascii="Times New Roman" w:hAnsi="Times New Roman" w:cs="Times New Roman"/>
                <w:sz w:val="24"/>
                <w:szCs w:val="24"/>
                <w:lang w:val="es-VE"/>
              </w:rPr>
              <w:t xml:space="preserve"> $</w:t>
            </w:r>
          </w:p>
          <w:p w14:paraId="41132573" w14:textId="47C69B08" w:rsidR="00634720" w:rsidRPr="00430B91" w:rsidRDefault="00634720" w:rsidP="00AB141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VE"/>
              </w:rPr>
            </w:pPr>
            <w:r>
              <w:rPr>
                <w:rFonts w:ascii="Times New Roman" w:hAnsi="Times New Roman" w:cs="Times New Roman"/>
                <w:sz w:val="24"/>
                <w:szCs w:val="24"/>
                <w:lang w:val="es-VE"/>
              </w:rPr>
              <w:t>(Variación)</w:t>
            </w:r>
          </w:p>
        </w:tc>
        <w:tc>
          <w:tcPr>
            <w:tcW w:w="0" w:type="auto"/>
            <w:vAlign w:val="center"/>
          </w:tcPr>
          <w:p w14:paraId="16907C21" w14:textId="77115B74" w:rsidR="00634720" w:rsidRPr="00430B91" w:rsidRDefault="00634720" w:rsidP="00AB141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VE"/>
              </w:rPr>
            </w:pPr>
            <w:r>
              <w:rPr>
                <w:rFonts w:ascii="Times New Roman" w:hAnsi="Times New Roman" w:cs="Times New Roman"/>
                <w:sz w:val="24"/>
                <w:szCs w:val="24"/>
                <w:lang w:val="es-VE"/>
              </w:rPr>
              <w:t>VAR</w:t>
            </w:r>
            <w:r w:rsidRPr="00430B91">
              <w:rPr>
                <w:rFonts w:ascii="Times New Roman" w:hAnsi="Times New Roman" w:cs="Times New Roman"/>
                <w:sz w:val="24"/>
                <w:szCs w:val="24"/>
                <w:lang w:val="es-VE"/>
              </w:rPr>
              <w:t xml:space="preserve"> %</w:t>
            </w:r>
          </w:p>
        </w:tc>
        <w:tc>
          <w:tcPr>
            <w:tcW w:w="0" w:type="auto"/>
            <w:vAlign w:val="center"/>
          </w:tcPr>
          <w:p w14:paraId="3FF6BF2D" w14:textId="4800266C" w:rsidR="00634720" w:rsidRPr="00634720" w:rsidRDefault="00647F0B" w:rsidP="00AB141B">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VE"/>
              </w:rPr>
            </w:pPr>
            <w:r>
              <w:rPr>
                <w:rFonts w:ascii="Times New Roman" w:hAnsi="Times New Roman" w:cs="Times New Roman"/>
                <w:sz w:val="24"/>
                <w:szCs w:val="24"/>
                <w:lang w:val="es-VE"/>
              </w:rPr>
              <w:t xml:space="preserve">% </w:t>
            </w:r>
            <w:r w:rsidR="00634720" w:rsidRPr="00634720">
              <w:rPr>
                <w:rFonts w:ascii="Times New Roman" w:hAnsi="Times New Roman" w:cs="Times New Roman"/>
                <w:sz w:val="24"/>
                <w:szCs w:val="24"/>
                <w:lang w:val="es-VE"/>
              </w:rPr>
              <w:t xml:space="preserve">Participación de Mercado </w:t>
            </w:r>
            <w:r w:rsidR="00634720">
              <w:rPr>
                <w:rFonts w:ascii="Times New Roman" w:hAnsi="Times New Roman" w:cs="Times New Roman"/>
                <w:sz w:val="24"/>
                <w:szCs w:val="24"/>
                <w:lang w:val="es-VE"/>
              </w:rPr>
              <w:t>por Valor</w:t>
            </w:r>
            <w:r w:rsidR="00634720" w:rsidRPr="00634720">
              <w:rPr>
                <w:rFonts w:ascii="Times New Roman" w:hAnsi="Times New Roman" w:cs="Times New Roman"/>
                <w:sz w:val="24"/>
                <w:szCs w:val="24"/>
                <w:lang w:val="es-VE"/>
              </w:rPr>
              <w:t xml:space="preserve"> </w:t>
            </w:r>
            <w:r w:rsidR="00634720">
              <w:rPr>
                <w:rFonts w:ascii="Times New Roman" w:hAnsi="Times New Roman" w:cs="Times New Roman"/>
                <w:sz w:val="24"/>
                <w:szCs w:val="24"/>
                <w:lang w:val="es-VE"/>
              </w:rPr>
              <w:t xml:space="preserve">en </w:t>
            </w:r>
            <w:r w:rsidR="00634720" w:rsidRPr="00634720">
              <w:rPr>
                <w:rFonts w:ascii="Times New Roman" w:hAnsi="Times New Roman" w:cs="Times New Roman"/>
                <w:sz w:val="24"/>
                <w:szCs w:val="24"/>
                <w:lang w:val="es-VE"/>
              </w:rPr>
              <w:t>2021</w:t>
            </w:r>
            <w:r w:rsidR="00A60F5C">
              <w:rPr>
                <w:rFonts w:ascii="Times New Roman" w:hAnsi="Times New Roman" w:cs="Times New Roman"/>
                <w:sz w:val="24"/>
                <w:szCs w:val="24"/>
                <w:lang w:val="es-VE"/>
              </w:rPr>
              <w:t xml:space="preserve"> </w:t>
            </w:r>
          </w:p>
        </w:tc>
      </w:tr>
      <w:tr w:rsidR="00A60F5C" w:rsidRPr="00430B91" w14:paraId="53B40D44" w14:textId="77777777" w:rsidTr="00A6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A9704D" w14:textId="306C4BB4" w:rsidR="00634720" w:rsidRPr="0041190F" w:rsidRDefault="00634720" w:rsidP="00AB141B">
            <w:pPr>
              <w:rPr>
                <w:rFonts w:ascii="Times New Roman" w:hAnsi="Times New Roman" w:cs="Times New Roman"/>
                <w:b w:val="0"/>
                <w:bCs w:val="0"/>
                <w:sz w:val="24"/>
                <w:szCs w:val="24"/>
              </w:rPr>
            </w:pPr>
            <w:proofErr w:type="spellStart"/>
            <w:r>
              <w:rPr>
                <w:rFonts w:ascii="Times New Roman" w:hAnsi="Times New Roman" w:cs="Times New Roman"/>
                <w:sz w:val="24"/>
                <w:szCs w:val="24"/>
              </w:rPr>
              <w:t>Productos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Granel</w:t>
            </w:r>
            <w:proofErr w:type="spellEnd"/>
          </w:p>
        </w:tc>
        <w:tc>
          <w:tcPr>
            <w:tcW w:w="0" w:type="auto"/>
            <w:vAlign w:val="center"/>
          </w:tcPr>
          <w:p w14:paraId="05460009"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608.9</w:t>
            </w:r>
          </w:p>
        </w:tc>
        <w:tc>
          <w:tcPr>
            <w:tcW w:w="0" w:type="auto"/>
            <w:vAlign w:val="center"/>
          </w:tcPr>
          <w:p w14:paraId="697C0660"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720.4</w:t>
            </w:r>
          </w:p>
        </w:tc>
        <w:tc>
          <w:tcPr>
            <w:tcW w:w="0" w:type="auto"/>
            <w:vAlign w:val="center"/>
          </w:tcPr>
          <w:p w14:paraId="560D780D"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111.5</w:t>
            </w:r>
          </w:p>
        </w:tc>
        <w:tc>
          <w:tcPr>
            <w:tcW w:w="0" w:type="auto"/>
            <w:vAlign w:val="center"/>
          </w:tcPr>
          <w:p w14:paraId="5DC36921"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18.3</w:t>
            </w:r>
          </w:p>
        </w:tc>
        <w:tc>
          <w:tcPr>
            <w:tcW w:w="0" w:type="auto"/>
            <w:vAlign w:val="center"/>
          </w:tcPr>
          <w:p w14:paraId="2CA51219"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29.2</w:t>
            </w:r>
          </w:p>
        </w:tc>
      </w:tr>
      <w:tr w:rsidR="00634720" w:rsidRPr="00430B91" w14:paraId="53CBA7FD" w14:textId="77777777" w:rsidTr="00A60F5C">
        <w:tc>
          <w:tcPr>
            <w:cnfStyle w:val="001000000000" w:firstRow="0" w:lastRow="0" w:firstColumn="1" w:lastColumn="0" w:oddVBand="0" w:evenVBand="0" w:oddHBand="0" w:evenHBand="0" w:firstRowFirstColumn="0" w:firstRowLastColumn="0" w:lastRowFirstColumn="0" w:lastRowLastColumn="0"/>
            <w:tcW w:w="0" w:type="auto"/>
            <w:vAlign w:val="center"/>
          </w:tcPr>
          <w:p w14:paraId="3D6DCEC8" w14:textId="11FF57B0" w:rsidR="00634720" w:rsidRPr="0041190F" w:rsidRDefault="00A60F5C" w:rsidP="00AB141B">
            <w:pPr>
              <w:rPr>
                <w:rFonts w:ascii="Times New Roman" w:hAnsi="Times New Roman" w:cs="Times New Roman"/>
                <w:b w:val="0"/>
                <w:bCs w:val="0"/>
                <w:sz w:val="24"/>
                <w:szCs w:val="24"/>
              </w:rPr>
            </w:pPr>
            <w:proofErr w:type="spellStart"/>
            <w:r>
              <w:rPr>
                <w:rFonts w:ascii="Times New Roman" w:hAnsi="Times New Roman" w:cs="Times New Roman"/>
                <w:sz w:val="24"/>
                <w:szCs w:val="24"/>
              </w:rPr>
              <w:t>Productos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Intermedios</w:t>
            </w:r>
            <w:proofErr w:type="spellEnd"/>
          </w:p>
        </w:tc>
        <w:tc>
          <w:tcPr>
            <w:tcW w:w="0" w:type="auto"/>
            <w:vAlign w:val="center"/>
          </w:tcPr>
          <w:p w14:paraId="38A2A9C5"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738.3</w:t>
            </w:r>
          </w:p>
        </w:tc>
        <w:tc>
          <w:tcPr>
            <w:tcW w:w="0" w:type="auto"/>
            <w:vAlign w:val="center"/>
          </w:tcPr>
          <w:p w14:paraId="5357BF9C"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955.8</w:t>
            </w:r>
          </w:p>
        </w:tc>
        <w:tc>
          <w:tcPr>
            <w:tcW w:w="0" w:type="auto"/>
            <w:vAlign w:val="center"/>
          </w:tcPr>
          <w:p w14:paraId="685EA3BA"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217.5</w:t>
            </w:r>
          </w:p>
        </w:tc>
        <w:tc>
          <w:tcPr>
            <w:tcW w:w="0" w:type="auto"/>
            <w:vAlign w:val="center"/>
          </w:tcPr>
          <w:p w14:paraId="11BC1188"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29.5</w:t>
            </w:r>
          </w:p>
        </w:tc>
        <w:tc>
          <w:tcPr>
            <w:tcW w:w="0" w:type="auto"/>
            <w:vAlign w:val="center"/>
          </w:tcPr>
          <w:p w14:paraId="76F944A7"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38.8</w:t>
            </w:r>
          </w:p>
        </w:tc>
      </w:tr>
      <w:tr w:rsidR="00A60F5C" w:rsidRPr="00430B91" w14:paraId="5677DA61" w14:textId="77777777" w:rsidTr="00A6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F86F59" w14:textId="2CA502AD" w:rsidR="00634720" w:rsidRPr="0041190F" w:rsidRDefault="00A60F5C" w:rsidP="00AB141B">
            <w:pPr>
              <w:rPr>
                <w:rFonts w:ascii="Times New Roman" w:hAnsi="Times New Roman" w:cs="Times New Roman"/>
                <w:b w:val="0"/>
                <w:bCs w:val="0"/>
                <w:sz w:val="24"/>
                <w:szCs w:val="24"/>
              </w:rPr>
            </w:pPr>
            <w:proofErr w:type="spellStart"/>
            <w:r>
              <w:rPr>
                <w:rFonts w:ascii="Times New Roman" w:hAnsi="Times New Roman" w:cs="Times New Roman"/>
                <w:sz w:val="24"/>
                <w:szCs w:val="24"/>
              </w:rPr>
              <w:t>Productos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Consumo</w:t>
            </w:r>
            <w:proofErr w:type="spellEnd"/>
            <w:r>
              <w:rPr>
                <w:rFonts w:ascii="Times New Roman" w:hAnsi="Times New Roman" w:cs="Times New Roman"/>
                <w:sz w:val="24"/>
                <w:szCs w:val="24"/>
              </w:rPr>
              <w:t xml:space="preserve"> Final</w:t>
            </w:r>
          </w:p>
        </w:tc>
        <w:tc>
          <w:tcPr>
            <w:tcW w:w="0" w:type="auto"/>
            <w:vAlign w:val="center"/>
          </w:tcPr>
          <w:p w14:paraId="43D48C63"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470.3</w:t>
            </w:r>
          </w:p>
        </w:tc>
        <w:tc>
          <w:tcPr>
            <w:tcW w:w="0" w:type="auto"/>
            <w:vAlign w:val="center"/>
          </w:tcPr>
          <w:p w14:paraId="4C1A90C0"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743.9</w:t>
            </w:r>
          </w:p>
        </w:tc>
        <w:tc>
          <w:tcPr>
            <w:tcW w:w="0" w:type="auto"/>
            <w:vAlign w:val="center"/>
          </w:tcPr>
          <w:p w14:paraId="322FE6F9"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273.6</w:t>
            </w:r>
          </w:p>
        </w:tc>
        <w:tc>
          <w:tcPr>
            <w:tcW w:w="0" w:type="auto"/>
            <w:vAlign w:val="center"/>
          </w:tcPr>
          <w:p w14:paraId="72BCB466"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58.2</w:t>
            </w:r>
          </w:p>
        </w:tc>
        <w:tc>
          <w:tcPr>
            <w:tcW w:w="0" w:type="auto"/>
            <w:vAlign w:val="center"/>
          </w:tcPr>
          <w:p w14:paraId="4C619401" w14:textId="77777777" w:rsidR="00634720" w:rsidRPr="00430B91"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30.2</w:t>
            </w:r>
          </w:p>
        </w:tc>
      </w:tr>
      <w:tr w:rsidR="00634720" w:rsidRPr="00430B91" w14:paraId="1F6F42EA" w14:textId="77777777" w:rsidTr="00A60F5C">
        <w:tc>
          <w:tcPr>
            <w:cnfStyle w:val="001000000000" w:firstRow="0" w:lastRow="0" w:firstColumn="1" w:lastColumn="0" w:oddVBand="0" w:evenVBand="0" w:oddHBand="0" w:evenHBand="0" w:firstRowFirstColumn="0" w:firstRowLastColumn="0" w:lastRowFirstColumn="0" w:lastRowLastColumn="0"/>
            <w:tcW w:w="0" w:type="auto"/>
            <w:vAlign w:val="center"/>
          </w:tcPr>
          <w:p w14:paraId="4F01AA48" w14:textId="75E1D99A" w:rsidR="00634720" w:rsidRPr="0041190F" w:rsidRDefault="00A60F5C" w:rsidP="00AB141B">
            <w:pPr>
              <w:rPr>
                <w:rFonts w:ascii="Times New Roman" w:hAnsi="Times New Roman" w:cs="Times New Roman"/>
                <w:b w:val="0"/>
                <w:bCs w:val="0"/>
                <w:sz w:val="24"/>
                <w:szCs w:val="24"/>
              </w:rPr>
            </w:pPr>
            <w:proofErr w:type="spellStart"/>
            <w:r>
              <w:rPr>
                <w:rFonts w:ascii="Times New Roman" w:hAnsi="Times New Roman" w:cs="Times New Roman"/>
                <w:sz w:val="24"/>
                <w:szCs w:val="24"/>
              </w:rPr>
              <w:t>Productos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Relacionados</w:t>
            </w:r>
            <w:proofErr w:type="spellEnd"/>
            <w:r>
              <w:rPr>
                <w:rFonts w:ascii="Times New Roman" w:hAnsi="Times New Roman" w:cs="Times New Roman"/>
                <w:sz w:val="24"/>
                <w:szCs w:val="24"/>
              </w:rPr>
              <w:t xml:space="preserve"> a Agricultura</w:t>
            </w:r>
          </w:p>
        </w:tc>
        <w:tc>
          <w:tcPr>
            <w:tcW w:w="0" w:type="auto"/>
            <w:vAlign w:val="center"/>
          </w:tcPr>
          <w:p w14:paraId="0DEE6D57"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33.6</w:t>
            </w:r>
          </w:p>
        </w:tc>
        <w:tc>
          <w:tcPr>
            <w:tcW w:w="0" w:type="auto"/>
            <w:vAlign w:val="center"/>
          </w:tcPr>
          <w:p w14:paraId="0EE56CA3"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43.3</w:t>
            </w:r>
          </w:p>
        </w:tc>
        <w:tc>
          <w:tcPr>
            <w:tcW w:w="0" w:type="auto"/>
            <w:vAlign w:val="center"/>
          </w:tcPr>
          <w:p w14:paraId="12856E60"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9.6</w:t>
            </w:r>
          </w:p>
        </w:tc>
        <w:tc>
          <w:tcPr>
            <w:tcW w:w="0" w:type="auto"/>
            <w:vAlign w:val="center"/>
          </w:tcPr>
          <w:p w14:paraId="23E82574"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28.6</w:t>
            </w:r>
          </w:p>
        </w:tc>
        <w:tc>
          <w:tcPr>
            <w:tcW w:w="0" w:type="auto"/>
            <w:vAlign w:val="center"/>
          </w:tcPr>
          <w:p w14:paraId="1BF19F0C" w14:textId="77777777" w:rsidR="00634720" w:rsidRPr="00430B91" w:rsidRDefault="00634720" w:rsidP="00AB1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0B91">
              <w:rPr>
                <w:rFonts w:ascii="Times New Roman" w:hAnsi="Times New Roman" w:cs="Times New Roman"/>
                <w:sz w:val="24"/>
                <w:szCs w:val="24"/>
              </w:rPr>
              <w:t>1.8</w:t>
            </w:r>
          </w:p>
        </w:tc>
      </w:tr>
      <w:tr w:rsidR="00A60F5C" w:rsidRPr="00430B91" w14:paraId="41782C19" w14:textId="77777777" w:rsidTr="00A6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66BD4A" w14:textId="77777777" w:rsidR="00634720" w:rsidRPr="005D7876" w:rsidRDefault="00634720" w:rsidP="00AB141B">
            <w:pPr>
              <w:rPr>
                <w:rFonts w:ascii="Times New Roman" w:hAnsi="Times New Roman" w:cs="Times New Roman"/>
                <w:sz w:val="24"/>
                <w:szCs w:val="24"/>
              </w:rPr>
            </w:pPr>
            <w:r w:rsidRPr="005D7876">
              <w:rPr>
                <w:rFonts w:ascii="Times New Roman" w:hAnsi="Times New Roman" w:cs="Times New Roman"/>
                <w:sz w:val="24"/>
                <w:szCs w:val="24"/>
              </w:rPr>
              <w:t>Total</w:t>
            </w:r>
          </w:p>
        </w:tc>
        <w:tc>
          <w:tcPr>
            <w:tcW w:w="0" w:type="auto"/>
            <w:vAlign w:val="center"/>
          </w:tcPr>
          <w:p w14:paraId="22786ECA" w14:textId="77777777" w:rsidR="00634720" w:rsidRPr="0041190F"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1190F">
              <w:rPr>
                <w:rFonts w:ascii="Times New Roman" w:hAnsi="Times New Roman" w:cs="Times New Roman"/>
                <w:b/>
                <w:bCs/>
                <w:sz w:val="24"/>
                <w:szCs w:val="24"/>
              </w:rPr>
              <w:t>1,851.1</w:t>
            </w:r>
          </w:p>
        </w:tc>
        <w:tc>
          <w:tcPr>
            <w:tcW w:w="0" w:type="auto"/>
            <w:vAlign w:val="center"/>
          </w:tcPr>
          <w:p w14:paraId="013F09FD" w14:textId="77777777" w:rsidR="00634720" w:rsidRPr="0041190F"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1190F">
              <w:rPr>
                <w:rFonts w:ascii="Times New Roman" w:hAnsi="Times New Roman" w:cs="Times New Roman"/>
                <w:b/>
                <w:bCs/>
                <w:sz w:val="24"/>
                <w:szCs w:val="24"/>
              </w:rPr>
              <w:t>2,463.4</w:t>
            </w:r>
          </w:p>
        </w:tc>
        <w:tc>
          <w:tcPr>
            <w:tcW w:w="0" w:type="auto"/>
            <w:vAlign w:val="center"/>
          </w:tcPr>
          <w:p w14:paraId="6A6ED0C7" w14:textId="77777777" w:rsidR="00634720" w:rsidRPr="0041190F"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1190F">
              <w:rPr>
                <w:rFonts w:ascii="Times New Roman" w:hAnsi="Times New Roman" w:cs="Times New Roman"/>
                <w:b/>
                <w:bCs/>
                <w:sz w:val="24"/>
                <w:szCs w:val="24"/>
              </w:rPr>
              <w:t>612.2</w:t>
            </w:r>
          </w:p>
        </w:tc>
        <w:tc>
          <w:tcPr>
            <w:tcW w:w="0" w:type="auto"/>
            <w:vAlign w:val="center"/>
          </w:tcPr>
          <w:p w14:paraId="384C4008" w14:textId="77777777" w:rsidR="00634720" w:rsidRPr="0041190F"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1190F">
              <w:rPr>
                <w:rFonts w:ascii="Times New Roman" w:hAnsi="Times New Roman" w:cs="Times New Roman"/>
                <w:b/>
                <w:bCs/>
                <w:sz w:val="24"/>
                <w:szCs w:val="24"/>
              </w:rPr>
              <w:t>33.1</w:t>
            </w:r>
          </w:p>
        </w:tc>
        <w:tc>
          <w:tcPr>
            <w:tcW w:w="0" w:type="auto"/>
            <w:vAlign w:val="center"/>
          </w:tcPr>
          <w:p w14:paraId="60413AC3" w14:textId="77777777" w:rsidR="00634720" w:rsidRPr="0041190F" w:rsidRDefault="00634720" w:rsidP="00AB1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1190F">
              <w:rPr>
                <w:rFonts w:ascii="Times New Roman" w:hAnsi="Times New Roman" w:cs="Times New Roman"/>
                <w:b/>
                <w:bCs/>
                <w:sz w:val="24"/>
                <w:szCs w:val="24"/>
              </w:rPr>
              <w:t>100</w:t>
            </w:r>
          </w:p>
        </w:tc>
      </w:tr>
    </w:tbl>
    <w:p w14:paraId="3A408C15" w14:textId="77777777" w:rsidR="00634720" w:rsidRDefault="00634720" w:rsidP="00634720">
      <w:pPr>
        <w:spacing w:after="0" w:line="240" w:lineRule="auto"/>
        <w:rPr>
          <w:rFonts w:ascii="Times New Roman" w:hAnsi="Times New Roman" w:cs="Times New Roman"/>
          <w:b/>
          <w:bCs/>
          <w:sz w:val="24"/>
          <w:szCs w:val="24"/>
        </w:rPr>
      </w:pPr>
    </w:p>
    <w:p w14:paraId="36C4A938" w14:textId="1038BDE6" w:rsidR="008F00BF" w:rsidRPr="00800F6F" w:rsidRDefault="008F00BF" w:rsidP="008F00BF">
      <w:pPr>
        <w:spacing w:after="0" w:line="240" w:lineRule="auto"/>
        <w:rPr>
          <w:rFonts w:ascii="Times New Roman" w:hAnsi="Times New Roman" w:cs="Times New Roman"/>
          <w:b/>
          <w:bCs/>
          <w:sz w:val="24"/>
          <w:szCs w:val="24"/>
          <w:lang w:val="es-VE"/>
        </w:rPr>
      </w:pPr>
      <w:r w:rsidRPr="00800F6F">
        <w:rPr>
          <w:rFonts w:ascii="Times New Roman" w:hAnsi="Times New Roman" w:cs="Times New Roman"/>
          <w:b/>
          <w:bCs/>
          <w:sz w:val="24"/>
          <w:szCs w:val="24"/>
          <w:lang w:val="es-VE"/>
        </w:rPr>
        <w:t>Figur</w:t>
      </w:r>
      <w:r w:rsidR="00800F6F" w:rsidRPr="00800F6F">
        <w:rPr>
          <w:rFonts w:ascii="Times New Roman" w:hAnsi="Times New Roman" w:cs="Times New Roman"/>
          <w:b/>
          <w:bCs/>
          <w:sz w:val="24"/>
          <w:szCs w:val="24"/>
          <w:lang w:val="es-VE"/>
        </w:rPr>
        <w:t>a</w:t>
      </w:r>
      <w:r w:rsidRPr="00800F6F">
        <w:rPr>
          <w:rFonts w:ascii="Times New Roman" w:hAnsi="Times New Roman" w:cs="Times New Roman"/>
          <w:b/>
          <w:bCs/>
          <w:sz w:val="24"/>
          <w:szCs w:val="24"/>
          <w:lang w:val="es-VE"/>
        </w:rPr>
        <w:t xml:space="preserve"> 3. </w:t>
      </w:r>
      <w:r w:rsidR="00800F6F" w:rsidRPr="00800F6F">
        <w:rPr>
          <w:rFonts w:ascii="Times New Roman" w:hAnsi="Times New Roman" w:cs="Times New Roman"/>
          <w:b/>
          <w:bCs/>
          <w:sz w:val="24"/>
          <w:szCs w:val="24"/>
          <w:lang w:val="es-VE"/>
        </w:rPr>
        <w:t>Importaciones Agrícolas Venezolanas según Categoría</w:t>
      </w:r>
      <w:r w:rsidR="00800F6F">
        <w:rPr>
          <w:rFonts w:ascii="Times New Roman" w:hAnsi="Times New Roman" w:cs="Times New Roman"/>
          <w:b/>
          <w:bCs/>
          <w:sz w:val="24"/>
          <w:szCs w:val="24"/>
          <w:lang w:val="es-VE"/>
        </w:rPr>
        <w:t>.</w:t>
      </w:r>
      <w:r w:rsidR="00800F6F" w:rsidRPr="00800F6F">
        <w:rPr>
          <w:rFonts w:ascii="Times New Roman" w:hAnsi="Times New Roman" w:cs="Times New Roman"/>
          <w:b/>
          <w:bCs/>
          <w:sz w:val="24"/>
          <w:szCs w:val="24"/>
          <w:lang w:val="es-VE"/>
        </w:rPr>
        <w:t xml:space="preserve"> </w:t>
      </w:r>
      <w:r w:rsidR="00800F6F" w:rsidRPr="00475D5C">
        <w:rPr>
          <w:rFonts w:ascii="Times New Roman" w:hAnsi="Times New Roman" w:cs="Times New Roman"/>
          <w:b/>
          <w:bCs/>
          <w:sz w:val="24"/>
          <w:szCs w:val="24"/>
        </w:rPr>
        <w:t xml:space="preserve">2016 –2021 </w:t>
      </w:r>
      <w:r w:rsidR="00800F6F" w:rsidRPr="00800F6F">
        <w:rPr>
          <w:rFonts w:ascii="Times New Roman" w:hAnsi="Times New Roman" w:cs="Times New Roman"/>
          <w:b/>
          <w:bCs/>
          <w:sz w:val="24"/>
          <w:szCs w:val="24"/>
          <w:lang w:val="es-VE"/>
        </w:rPr>
        <w:t xml:space="preserve">(Millones de </w:t>
      </w:r>
      <w:proofErr w:type="gramStart"/>
      <w:r w:rsidR="00800F6F" w:rsidRPr="00800F6F">
        <w:rPr>
          <w:rFonts w:ascii="Times New Roman" w:hAnsi="Times New Roman" w:cs="Times New Roman"/>
          <w:b/>
          <w:bCs/>
          <w:sz w:val="24"/>
          <w:szCs w:val="24"/>
          <w:lang w:val="es-VE"/>
        </w:rPr>
        <w:t xml:space="preserve">USD)   </w:t>
      </w:r>
      <w:proofErr w:type="gramEnd"/>
      <w:r w:rsidR="00800F6F" w:rsidRPr="00800F6F">
        <w:rPr>
          <w:rFonts w:ascii="Times New Roman" w:hAnsi="Times New Roman" w:cs="Times New Roman"/>
          <w:b/>
          <w:bCs/>
          <w:sz w:val="24"/>
          <w:szCs w:val="24"/>
          <w:lang w:val="es-VE"/>
        </w:rPr>
        <w:t xml:space="preserve">     </w:t>
      </w:r>
      <w:r w:rsidRPr="0041190F">
        <w:rPr>
          <w:rFonts w:ascii="Times New Roman" w:hAnsi="Times New Roman" w:cs="Times New Roman"/>
          <w:noProof/>
          <w:sz w:val="24"/>
          <w:szCs w:val="24"/>
          <w:shd w:val="clear" w:color="auto" w:fill="002060"/>
        </w:rPr>
        <w:drawing>
          <wp:inline distT="0" distB="0" distL="0" distR="0" wp14:anchorId="5F4469BB" wp14:editId="75CD21CD">
            <wp:extent cx="5789295" cy="2093393"/>
            <wp:effectExtent l="0" t="0" r="1905"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520360" w14:textId="429DBE48" w:rsidR="00647F0B" w:rsidRPr="0041190F" w:rsidRDefault="008F00BF" w:rsidP="00647F0B">
      <w:pPr>
        <w:rPr>
          <w:rFonts w:ascii="Times New Roman" w:hAnsi="Times New Roman" w:cs="Times New Roman"/>
          <w:i/>
          <w:iCs/>
          <w:sz w:val="16"/>
          <w:szCs w:val="16"/>
        </w:rPr>
      </w:pPr>
      <w:r w:rsidRPr="0041190F">
        <w:rPr>
          <w:rFonts w:ascii="Times New Roman" w:hAnsi="Times New Roman" w:cs="Times New Roman"/>
          <w:i/>
          <w:iCs/>
          <w:sz w:val="16"/>
          <w:szCs w:val="16"/>
        </w:rPr>
        <w:t>Source: Trade Data Monitor</w:t>
      </w:r>
    </w:p>
    <w:tbl>
      <w:tblPr>
        <w:tblStyle w:val="TableGrid"/>
        <w:tblW w:w="10890" w:type="dxa"/>
        <w:tblInd w:w="-72" w:type="dxa"/>
        <w:tblLayout w:type="fixed"/>
        <w:tblLook w:val="04A0" w:firstRow="1" w:lastRow="0" w:firstColumn="1" w:lastColumn="0" w:noHBand="0" w:noVBand="1"/>
      </w:tblPr>
      <w:tblGrid>
        <w:gridCol w:w="1170"/>
        <w:gridCol w:w="1170"/>
        <w:gridCol w:w="1080"/>
        <w:gridCol w:w="810"/>
        <w:gridCol w:w="1170"/>
        <w:gridCol w:w="270"/>
        <w:gridCol w:w="1170"/>
        <w:gridCol w:w="990"/>
        <w:gridCol w:w="1080"/>
        <w:gridCol w:w="810"/>
        <w:gridCol w:w="1170"/>
      </w:tblGrid>
      <w:tr w:rsidR="00647F0B" w:rsidRPr="002F735F" w14:paraId="36041F9B" w14:textId="77777777" w:rsidTr="00AB141B">
        <w:tc>
          <w:tcPr>
            <w:tcW w:w="5400" w:type="dxa"/>
            <w:gridSpan w:val="5"/>
            <w:tcBorders>
              <w:top w:val="nil"/>
              <w:left w:val="nil"/>
              <w:bottom w:val="nil"/>
              <w:right w:val="nil"/>
            </w:tcBorders>
          </w:tcPr>
          <w:p w14:paraId="443717FC" w14:textId="77777777" w:rsidR="00647F0B" w:rsidRDefault="00647F0B" w:rsidP="00647F0B">
            <w:pPr>
              <w:rPr>
                <w:rFonts w:ascii="Times New Roman" w:hAnsi="Times New Roman" w:cs="Times New Roman"/>
                <w:b/>
                <w:bCs/>
                <w:sz w:val="24"/>
                <w:szCs w:val="24"/>
              </w:rPr>
            </w:pPr>
            <w:bookmarkStart w:id="1" w:name="_Hlk88042673"/>
            <w:r w:rsidRPr="00B65708">
              <w:rPr>
                <w:rFonts w:ascii="Times New Roman" w:hAnsi="Times New Roman" w:cs="Times New Roman"/>
                <w:b/>
                <w:bCs/>
                <w:sz w:val="24"/>
                <w:szCs w:val="24"/>
                <w:lang w:val="es-VE"/>
              </w:rPr>
              <w:t xml:space="preserve">Tabla 2. </w:t>
            </w:r>
            <w:r w:rsidRPr="00647F0B">
              <w:rPr>
                <w:rFonts w:ascii="Times New Roman" w:hAnsi="Times New Roman" w:cs="Times New Roman"/>
                <w:b/>
                <w:bCs/>
                <w:sz w:val="24"/>
                <w:szCs w:val="24"/>
                <w:lang w:val="es-VE"/>
              </w:rPr>
              <w:t xml:space="preserve">Origen </w:t>
            </w:r>
            <w:r>
              <w:rPr>
                <w:rFonts w:ascii="Times New Roman" w:hAnsi="Times New Roman" w:cs="Times New Roman"/>
                <w:b/>
                <w:bCs/>
                <w:sz w:val="24"/>
                <w:szCs w:val="24"/>
                <w:lang w:val="es-VE"/>
              </w:rPr>
              <w:t xml:space="preserve">de las </w:t>
            </w:r>
            <w:r w:rsidRPr="00647F0B">
              <w:rPr>
                <w:rFonts w:ascii="Times New Roman" w:hAnsi="Times New Roman" w:cs="Times New Roman"/>
                <w:b/>
                <w:bCs/>
                <w:sz w:val="24"/>
                <w:szCs w:val="24"/>
                <w:lang w:val="es-VE"/>
              </w:rPr>
              <w:t xml:space="preserve">Importaciones Agrícolas Venezolanas según </w:t>
            </w:r>
            <w:r>
              <w:rPr>
                <w:rFonts w:ascii="Times New Roman" w:hAnsi="Times New Roman" w:cs="Times New Roman"/>
                <w:b/>
                <w:bCs/>
                <w:sz w:val="24"/>
                <w:szCs w:val="24"/>
                <w:lang w:val="es-VE"/>
              </w:rPr>
              <w:t xml:space="preserve">Valor. </w:t>
            </w:r>
            <w:r w:rsidRPr="00647F0B">
              <w:rPr>
                <w:rFonts w:ascii="Times New Roman" w:hAnsi="Times New Roman" w:cs="Times New Roman"/>
                <w:b/>
                <w:bCs/>
                <w:sz w:val="24"/>
                <w:szCs w:val="24"/>
                <w:lang w:val="es-VE"/>
              </w:rPr>
              <w:t xml:space="preserve"> </w:t>
            </w:r>
            <w:r w:rsidRPr="00CC5076">
              <w:rPr>
                <w:rFonts w:ascii="Times New Roman" w:hAnsi="Times New Roman" w:cs="Times New Roman"/>
                <w:b/>
                <w:bCs/>
                <w:sz w:val="24"/>
                <w:szCs w:val="24"/>
              </w:rPr>
              <w:t>2020 vs</w:t>
            </w:r>
            <w:r>
              <w:rPr>
                <w:rFonts w:ascii="Times New Roman" w:hAnsi="Times New Roman" w:cs="Times New Roman"/>
                <w:b/>
                <w:bCs/>
                <w:sz w:val="24"/>
                <w:szCs w:val="24"/>
              </w:rPr>
              <w:t>.</w:t>
            </w:r>
            <w:r w:rsidRPr="00CC5076">
              <w:rPr>
                <w:rFonts w:ascii="Times New Roman" w:hAnsi="Times New Roman" w:cs="Times New Roman"/>
                <w:b/>
                <w:bCs/>
                <w:sz w:val="24"/>
                <w:szCs w:val="24"/>
              </w:rPr>
              <w:t xml:space="preserve"> 2021 </w:t>
            </w:r>
          </w:p>
          <w:p w14:paraId="7C58239B" w14:textId="308E2062" w:rsidR="00647F0B" w:rsidRPr="00647F0B" w:rsidRDefault="00647F0B" w:rsidP="00AB141B">
            <w:pPr>
              <w:rPr>
                <w:rFonts w:ascii="Times New Roman" w:hAnsi="Times New Roman" w:cs="Times New Roman"/>
                <w:b/>
                <w:bCs/>
                <w:sz w:val="24"/>
                <w:szCs w:val="24"/>
                <w:lang w:val="es-VE"/>
              </w:rPr>
            </w:pPr>
            <w:r w:rsidRPr="00647F0B">
              <w:rPr>
                <w:rFonts w:ascii="Times New Roman" w:hAnsi="Times New Roman" w:cs="Times New Roman"/>
                <w:b/>
                <w:bCs/>
                <w:sz w:val="24"/>
                <w:szCs w:val="24"/>
                <w:lang w:val="es-VE"/>
              </w:rPr>
              <w:t>(</w:t>
            </w:r>
            <w:r w:rsidRPr="00800F6F">
              <w:rPr>
                <w:rFonts w:ascii="Times New Roman" w:hAnsi="Times New Roman" w:cs="Times New Roman"/>
                <w:b/>
                <w:bCs/>
                <w:sz w:val="24"/>
                <w:szCs w:val="24"/>
                <w:lang w:val="es-VE"/>
              </w:rPr>
              <w:t>Millones de USD</w:t>
            </w:r>
            <w:r w:rsidRPr="00647F0B">
              <w:rPr>
                <w:rFonts w:ascii="Times New Roman" w:hAnsi="Times New Roman" w:cs="Times New Roman"/>
                <w:b/>
                <w:bCs/>
                <w:sz w:val="24"/>
                <w:szCs w:val="24"/>
                <w:lang w:val="es-VE"/>
              </w:rPr>
              <w:t>)</w:t>
            </w:r>
          </w:p>
          <w:bookmarkEnd w:id="1"/>
          <w:p w14:paraId="28EFEBD5" w14:textId="77777777" w:rsidR="00647F0B" w:rsidRPr="00CC5076" w:rsidRDefault="00647F0B" w:rsidP="00647F0B">
            <w:pPr>
              <w:rPr>
                <w:rFonts w:ascii="Times New Roman" w:hAnsi="Times New Roman" w:cs="Times New Roman"/>
                <w:b/>
                <w:bCs/>
                <w:sz w:val="24"/>
                <w:szCs w:val="24"/>
              </w:rPr>
            </w:pPr>
          </w:p>
        </w:tc>
        <w:tc>
          <w:tcPr>
            <w:tcW w:w="270" w:type="dxa"/>
            <w:tcBorders>
              <w:top w:val="nil"/>
              <w:left w:val="nil"/>
              <w:bottom w:val="nil"/>
              <w:right w:val="nil"/>
            </w:tcBorders>
          </w:tcPr>
          <w:p w14:paraId="17370C2B" w14:textId="77777777" w:rsidR="00647F0B" w:rsidRPr="00CA5360" w:rsidRDefault="00647F0B" w:rsidP="00AB141B">
            <w:pPr>
              <w:rPr>
                <w:rFonts w:ascii="Times New Roman" w:hAnsi="Times New Roman" w:cs="Times New Roman"/>
                <w:sz w:val="24"/>
                <w:szCs w:val="24"/>
              </w:rPr>
            </w:pPr>
          </w:p>
        </w:tc>
        <w:tc>
          <w:tcPr>
            <w:tcW w:w="5220" w:type="dxa"/>
            <w:gridSpan w:val="5"/>
            <w:tcBorders>
              <w:top w:val="nil"/>
              <w:left w:val="nil"/>
              <w:bottom w:val="nil"/>
              <w:right w:val="nil"/>
            </w:tcBorders>
          </w:tcPr>
          <w:p w14:paraId="35DA9388" w14:textId="67CA5D03" w:rsidR="00647F0B" w:rsidRPr="002F735F" w:rsidRDefault="00647F0B" w:rsidP="00AB141B">
            <w:pPr>
              <w:rPr>
                <w:rFonts w:ascii="Times New Roman" w:hAnsi="Times New Roman" w:cs="Times New Roman"/>
                <w:b/>
                <w:bCs/>
                <w:sz w:val="24"/>
                <w:szCs w:val="24"/>
                <w:lang w:val="es-VE"/>
              </w:rPr>
            </w:pPr>
            <w:r w:rsidRPr="00647F0B">
              <w:rPr>
                <w:rFonts w:ascii="Times New Roman" w:hAnsi="Times New Roman" w:cs="Times New Roman"/>
                <w:b/>
                <w:bCs/>
                <w:sz w:val="24"/>
                <w:szCs w:val="24"/>
                <w:lang w:val="es-VE"/>
              </w:rPr>
              <w:t>Tabla 3</w:t>
            </w:r>
            <w:r>
              <w:rPr>
                <w:rFonts w:ascii="Times New Roman" w:hAnsi="Times New Roman" w:cs="Times New Roman"/>
                <w:b/>
                <w:bCs/>
                <w:sz w:val="24"/>
                <w:szCs w:val="24"/>
                <w:lang w:val="es-VE"/>
              </w:rPr>
              <w:t>.</w:t>
            </w:r>
            <w:r w:rsidRPr="00647F0B">
              <w:rPr>
                <w:lang w:val="es-VE"/>
              </w:rPr>
              <w:t xml:space="preserve"> </w:t>
            </w:r>
            <w:r w:rsidRPr="00647F0B">
              <w:rPr>
                <w:rFonts w:ascii="Times New Roman" w:hAnsi="Times New Roman" w:cs="Times New Roman"/>
                <w:b/>
                <w:bCs/>
                <w:sz w:val="24"/>
                <w:szCs w:val="24"/>
                <w:lang w:val="es-VE"/>
              </w:rPr>
              <w:t xml:space="preserve">Origen de las Importaciones Agrícolas Venezolanas según </w:t>
            </w:r>
            <w:r w:rsidR="00C65C96">
              <w:rPr>
                <w:rFonts w:ascii="Times New Roman" w:hAnsi="Times New Roman" w:cs="Times New Roman"/>
                <w:b/>
                <w:bCs/>
                <w:sz w:val="24"/>
                <w:szCs w:val="24"/>
                <w:lang w:val="es-VE"/>
              </w:rPr>
              <w:t>Volumen</w:t>
            </w:r>
            <w:r w:rsidRPr="00647F0B">
              <w:rPr>
                <w:rFonts w:ascii="Times New Roman" w:hAnsi="Times New Roman" w:cs="Times New Roman"/>
                <w:b/>
                <w:bCs/>
                <w:sz w:val="24"/>
                <w:szCs w:val="24"/>
                <w:lang w:val="es-VE"/>
              </w:rPr>
              <w:t xml:space="preserve">.  </w:t>
            </w:r>
            <w:r w:rsidRPr="002F735F">
              <w:rPr>
                <w:rFonts w:ascii="Times New Roman" w:hAnsi="Times New Roman" w:cs="Times New Roman"/>
                <w:b/>
                <w:bCs/>
                <w:sz w:val="24"/>
                <w:szCs w:val="24"/>
                <w:lang w:val="es-VE"/>
              </w:rPr>
              <w:t xml:space="preserve">2020 vs. 2021 (Miles de </w:t>
            </w:r>
            <w:proofErr w:type="gramStart"/>
            <w:r w:rsidRPr="002F735F">
              <w:rPr>
                <w:rFonts w:ascii="Times New Roman" w:hAnsi="Times New Roman" w:cs="Times New Roman"/>
                <w:b/>
                <w:bCs/>
                <w:sz w:val="24"/>
                <w:szCs w:val="24"/>
                <w:lang w:val="es-VE"/>
              </w:rPr>
              <w:t>TM)</w:t>
            </w:r>
            <w:r w:rsidR="00EA4F62" w:rsidRPr="002F735F">
              <w:rPr>
                <w:rFonts w:ascii="Times New Roman" w:hAnsi="Times New Roman" w:cs="Times New Roman"/>
                <w:b/>
                <w:bCs/>
                <w:sz w:val="24"/>
                <w:szCs w:val="24"/>
                <w:lang w:val="es-VE"/>
              </w:rPr>
              <w:t>*</w:t>
            </w:r>
            <w:proofErr w:type="gramEnd"/>
          </w:p>
          <w:p w14:paraId="1D5A8DF1" w14:textId="13CCD243" w:rsidR="00647F0B" w:rsidRPr="002F735F" w:rsidRDefault="00647F0B" w:rsidP="00AB141B">
            <w:pPr>
              <w:rPr>
                <w:rFonts w:ascii="Times New Roman" w:hAnsi="Times New Roman" w:cs="Times New Roman"/>
                <w:b/>
                <w:bCs/>
                <w:sz w:val="24"/>
                <w:szCs w:val="24"/>
                <w:lang w:val="es-VE"/>
              </w:rPr>
            </w:pPr>
          </w:p>
        </w:tc>
      </w:tr>
      <w:tr w:rsidR="00647F0B" w:rsidRPr="00B65708" w14:paraId="3178AE25" w14:textId="77777777" w:rsidTr="00AB141B">
        <w:tc>
          <w:tcPr>
            <w:tcW w:w="1170" w:type="dxa"/>
            <w:tcBorders>
              <w:top w:val="nil"/>
              <w:left w:val="nil"/>
              <w:bottom w:val="single" w:sz="4" w:space="0" w:color="A5A5A5" w:themeColor="accent3"/>
              <w:right w:val="nil"/>
            </w:tcBorders>
            <w:shd w:val="clear" w:color="auto" w:fill="A5A5A5"/>
            <w:vAlign w:val="center"/>
          </w:tcPr>
          <w:p w14:paraId="573D5AF8" w14:textId="3E84C284" w:rsidR="00647F0B" w:rsidRPr="00226194" w:rsidRDefault="00647F0B" w:rsidP="00AB141B">
            <w:pPr>
              <w:rPr>
                <w:rFonts w:ascii="Times New Roman" w:hAnsi="Times New Roman" w:cs="Times New Roman"/>
                <w:b/>
                <w:bCs/>
                <w:color w:val="FFFFFF" w:themeColor="background1"/>
                <w:sz w:val="20"/>
                <w:szCs w:val="20"/>
              </w:rPr>
            </w:pPr>
            <w:r w:rsidRPr="002F735F">
              <w:rPr>
                <w:rFonts w:ascii="Times New Roman" w:hAnsi="Times New Roman" w:cs="Times New Roman"/>
                <w:b/>
                <w:bCs/>
                <w:color w:val="FFFFFF" w:themeColor="background1"/>
                <w:sz w:val="20"/>
                <w:szCs w:val="20"/>
                <w:lang w:val="es-VE"/>
              </w:rPr>
              <w:t xml:space="preserve"> </w:t>
            </w:r>
            <w:proofErr w:type="spellStart"/>
            <w:r>
              <w:rPr>
                <w:rFonts w:ascii="Times New Roman" w:hAnsi="Times New Roman" w:cs="Times New Roman"/>
                <w:b/>
                <w:bCs/>
                <w:color w:val="FFFFFF" w:themeColor="background1"/>
                <w:sz w:val="20"/>
                <w:szCs w:val="20"/>
              </w:rPr>
              <w:t>Pais</w:t>
            </w:r>
            <w:proofErr w:type="spellEnd"/>
          </w:p>
        </w:tc>
        <w:tc>
          <w:tcPr>
            <w:tcW w:w="1170" w:type="dxa"/>
            <w:tcBorders>
              <w:top w:val="nil"/>
              <w:left w:val="nil"/>
              <w:bottom w:val="single" w:sz="4" w:space="0" w:color="A5A5A5" w:themeColor="accent3"/>
              <w:right w:val="nil"/>
            </w:tcBorders>
            <w:shd w:val="clear" w:color="auto" w:fill="A5A5A5"/>
            <w:vAlign w:val="center"/>
          </w:tcPr>
          <w:p w14:paraId="67D7B7E1" w14:textId="77777777" w:rsidR="00647F0B" w:rsidRPr="00226194" w:rsidRDefault="00647F0B" w:rsidP="00AB141B">
            <w:pPr>
              <w:jc w:val="right"/>
              <w:rPr>
                <w:rFonts w:ascii="Times New Roman" w:hAnsi="Times New Roman" w:cs="Times New Roman"/>
                <w:b/>
                <w:bCs/>
                <w:color w:val="FFFFFF" w:themeColor="background1"/>
                <w:sz w:val="20"/>
                <w:szCs w:val="20"/>
              </w:rPr>
            </w:pPr>
            <w:r w:rsidRPr="00226194">
              <w:rPr>
                <w:rFonts w:ascii="Times New Roman" w:hAnsi="Times New Roman" w:cs="Times New Roman"/>
                <w:b/>
                <w:bCs/>
                <w:color w:val="FFFFFF" w:themeColor="background1"/>
                <w:sz w:val="20"/>
                <w:szCs w:val="20"/>
              </w:rPr>
              <w:t>2020</w:t>
            </w:r>
          </w:p>
        </w:tc>
        <w:tc>
          <w:tcPr>
            <w:tcW w:w="1080" w:type="dxa"/>
            <w:tcBorders>
              <w:top w:val="nil"/>
              <w:left w:val="nil"/>
              <w:bottom w:val="single" w:sz="4" w:space="0" w:color="A5A5A5" w:themeColor="accent3"/>
              <w:right w:val="nil"/>
            </w:tcBorders>
            <w:shd w:val="clear" w:color="auto" w:fill="A5A5A5"/>
            <w:vAlign w:val="center"/>
          </w:tcPr>
          <w:p w14:paraId="59B62022" w14:textId="77777777" w:rsidR="00647F0B" w:rsidRPr="00226194" w:rsidRDefault="00647F0B" w:rsidP="00AB141B">
            <w:pPr>
              <w:jc w:val="right"/>
              <w:rPr>
                <w:rFonts w:ascii="Times New Roman" w:hAnsi="Times New Roman" w:cs="Times New Roman"/>
                <w:b/>
                <w:bCs/>
                <w:color w:val="FFFFFF" w:themeColor="background1"/>
                <w:sz w:val="20"/>
                <w:szCs w:val="20"/>
              </w:rPr>
            </w:pPr>
            <w:r w:rsidRPr="00226194">
              <w:rPr>
                <w:rFonts w:ascii="Times New Roman" w:hAnsi="Times New Roman" w:cs="Times New Roman"/>
                <w:b/>
                <w:bCs/>
                <w:color w:val="FFFFFF" w:themeColor="background1"/>
                <w:sz w:val="20"/>
                <w:szCs w:val="20"/>
              </w:rPr>
              <w:t>2021</w:t>
            </w:r>
          </w:p>
        </w:tc>
        <w:tc>
          <w:tcPr>
            <w:tcW w:w="810" w:type="dxa"/>
            <w:tcBorders>
              <w:top w:val="nil"/>
              <w:left w:val="nil"/>
              <w:bottom w:val="single" w:sz="4" w:space="0" w:color="A5A5A5" w:themeColor="accent3"/>
              <w:right w:val="nil"/>
            </w:tcBorders>
            <w:shd w:val="clear" w:color="auto" w:fill="A5A5A5"/>
            <w:vAlign w:val="center"/>
          </w:tcPr>
          <w:p w14:paraId="3AFB99AF" w14:textId="3202CAB3" w:rsidR="00647F0B" w:rsidRPr="00226194" w:rsidRDefault="00647F0B" w:rsidP="00AB141B">
            <w:pPr>
              <w:jc w:val="right"/>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VAR</w:t>
            </w:r>
            <w:r w:rsidRPr="00226194">
              <w:rPr>
                <w:rFonts w:ascii="Times New Roman" w:hAnsi="Times New Roman" w:cs="Times New Roman"/>
                <w:b/>
                <w:bCs/>
                <w:color w:val="FFFFFF" w:themeColor="background1"/>
                <w:sz w:val="20"/>
                <w:szCs w:val="20"/>
              </w:rPr>
              <w:t xml:space="preserve"> %</w:t>
            </w:r>
          </w:p>
        </w:tc>
        <w:tc>
          <w:tcPr>
            <w:tcW w:w="1170" w:type="dxa"/>
            <w:tcBorders>
              <w:top w:val="nil"/>
              <w:left w:val="nil"/>
              <w:bottom w:val="single" w:sz="4" w:space="0" w:color="A5A5A5" w:themeColor="accent3"/>
              <w:right w:val="nil"/>
            </w:tcBorders>
            <w:shd w:val="clear" w:color="auto" w:fill="A5A5A5"/>
            <w:vAlign w:val="center"/>
          </w:tcPr>
          <w:p w14:paraId="6143A68A" w14:textId="1A3158AB" w:rsidR="00647F0B" w:rsidRPr="00B65708" w:rsidRDefault="00647F0B" w:rsidP="00AB141B">
            <w:pPr>
              <w:jc w:val="right"/>
              <w:rPr>
                <w:rFonts w:ascii="Times New Roman" w:hAnsi="Times New Roman" w:cs="Times New Roman"/>
                <w:b/>
                <w:bCs/>
                <w:color w:val="FFFFFF" w:themeColor="background1"/>
                <w:sz w:val="20"/>
                <w:szCs w:val="20"/>
                <w:lang w:val="es-VE"/>
              </w:rPr>
            </w:pPr>
            <w:r w:rsidRPr="00B65708">
              <w:rPr>
                <w:rFonts w:ascii="Times New Roman" w:hAnsi="Times New Roman" w:cs="Times New Roman"/>
                <w:b/>
                <w:bCs/>
                <w:color w:val="FFFFFF" w:themeColor="background1"/>
                <w:sz w:val="20"/>
                <w:szCs w:val="20"/>
                <w:lang w:val="es-VE"/>
              </w:rPr>
              <w:t xml:space="preserve">% </w:t>
            </w:r>
            <w:proofErr w:type="spellStart"/>
            <w:r w:rsidRPr="00B65708">
              <w:rPr>
                <w:rFonts w:ascii="Times New Roman" w:hAnsi="Times New Roman" w:cs="Times New Roman"/>
                <w:b/>
                <w:bCs/>
                <w:color w:val="FFFFFF" w:themeColor="background1"/>
                <w:sz w:val="20"/>
                <w:szCs w:val="20"/>
                <w:lang w:val="es-VE"/>
              </w:rPr>
              <w:t>Part</w:t>
            </w:r>
            <w:proofErr w:type="spellEnd"/>
            <w:r w:rsidRPr="00B65708">
              <w:rPr>
                <w:rFonts w:ascii="Times New Roman" w:hAnsi="Times New Roman" w:cs="Times New Roman"/>
                <w:b/>
                <w:bCs/>
                <w:color w:val="FFFFFF" w:themeColor="background1"/>
                <w:sz w:val="20"/>
                <w:szCs w:val="20"/>
                <w:lang w:val="es-VE"/>
              </w:rPr>
              <w:t xml:space="preserve">. Merc. </w:t>
            </w:r>
            <w:r w:rsidR="00EA4F62" w:rsidRPr="00B65708">
              <w:rPr>
                <w:rFonts w:ascii="Times New Roman" w:hAnsi="Times New Roman" w:cs="Times New Roman"/>
                <w:b/>
                <w:bCs/>
                <w:color w:val="FFFFFF" w:themeColor="background1"/>
                <w:sz w:val="20"/>
                <w:szCs w:val="20"/>
                <w:lang w:val="es-VE"/>
              </w:rPr>
              <w:t>por</w:t>
            </w:r>
            <w:r w:rsidRPr="00B65708">
              <w:rPr>
                <w:rFonts w:ascii="Times New Roman" w:hAnsi="Times New Roman" w:cs="Times New Roman"/>
                <w:b/>
                <w:bCs/>
                <w:color w:val="FFFFFF" w:themeColor="background1"/>
                <w:sz w:val="20"/>
                <w:szCs w:val="20"/>
                <w:lang w:val="es-VE"/>
              </w:rPr>
              <w:t xml:space="preserve"> </w:t>
            </w:r>
            <w:r w:rsidR="00EA4F62" w:rsidRPr="00B65708">
              <w:rPr>
                <w:rFonts w:ascii="Times New Roman" w:hAnsi="Times New Roman" w:cs="Times New Roman"/>
                <w:b/>
                <w:bCs/>
                <w:color w:val="FFFFFF" w:themeColor="background1"/>
                <w:sz w:val="20"/>
                <w:szCs w:val="20"/>
                <w:lang w:val="es-VE"/>
              </w:rPr>
              <w:t>Valor</w:t>
            </w:r>
            <w:r w:rsidRPr="00B65708">
              <w:rPr>
                <w:rFonts w:ascii="Times New Roman" w:hAnsi="Times New Roman" w:cs="Times New Roman"/>
                <w:b/>
                <w:bCs/>
                <w:color w:val="FFFFFF" w:themeColor="background1"/>
                <w:sz w:val="20"/>
                <w:szCs w:val="20"/>
                <w:lang w:val="es-VE"/>
              </w:rPr>
              <w:t xml:space="preserve"> </w:t>
            </w:r>
            <w:r w:rsidR="00EA4F62" w:rsidRPr="00B65708">
              <w:rPr>
                <w:rFonts w:ascii="Times New Roman" w:hAnsi="Times New Roman" w:cs="Times New Roman"/>
                <w:b/>
                <w:bCs/>
                <w:color w:val="FFFFFF" w:themeColor="background1"/>
                <w:sz w:val="20"/>
                <w:szCs w:val="20"/>
                <w:lang w:val="es-VE"/>
              </w:rPr>
              <w:t>e</w:t>
            </w:r>
            <w:r w:rsidRPr="00B65708">
              <w:rPr>
                <w:rFonts w:ascii="Times New Roman" w:hAnsi="Times New Roman" w:cs="Times New Roman"/>
                <w:b/>
                <w:bCs/>
                <w:color w:val="FFFFFF" w:themeColor="background1"/>
                <w:sz w:val="20"/>
                <w:szCs w:val="20"/>
                <w:lang w:val="es-VE"/>
              </w:rPr>
              <w:t>n 2021</w:t>
            </w:r>
          </w:p>
        </w:tc>
        <w:tc>
          <w:tcPr>
            <w:tcW w:w="270" w:type="dxa"/>
            <w:tcBorders>
              <w:top w:val="nil"/>
              <w:left w:val="nil"/>
              <w:bottom w:val="nil"/>
              <w:right w:val="nil"/>
            </w:tcBorders>
          </w:tcPr>
          <w:p w14:paraId="7B58DF69" w14:textId="77777777" w:rsidR="00647F0B" w:rsidRPr="00B65708" w:rsidRDefault="00647F0B" w:rsidP="00AB141B">
            <w:pPr>
              <w:rPr>
                <w:rFonts w:ascii="Times New Roman" w:hAnsi="Times New Roman" w:cs="Times New Roman"/>
                <w:sz w:val="20"/>
                <w:szCs w:val="20"/>
                <w:lang w:val="es-VE"/>
              </w:rPr>
            </w:pPr>
          </w:p>
        </w:tc>
        <w:tc>
          <w:tcPr>
            <w:tcW w:w="1170" w:type="dxa"/>
            <w:tcBorders>
              <w:top w:val="nil"/>
              <w:left w:val="nil"/>
              <w:bottom w:val="single" w:sz="2" w:space="0" w:color="AEAAAA" w:themeColor="background2" w:themeShade="BF"/>
              <w:right w:val="nil"/>
            </w:tcBorders>
            <w:shd w:val="clear" w:color="auto" w:fill="A5A5A5"/>
            <w:vAlign w:val="center"/>
          </w:tcPr>
          <w:p w14:paraId="1B7FB2D6" w14:textId="30E45C80" w:rsidR="00647F0B" w:rsidRPr="00226194" w:rsidRDefault="00647F0B" w:rsidP="00AB141B">
            <w:pPr>
              <w:rPr>
                <w:rFonts w:ascii="Times New Roman" w:hAnsi="Times New Roman" w:cs="Times New Roman"/>
                <w:b/>
                <w:bCs/>
                <w:color w:val="FFFFFF" w:themeColor="background1"/>
                <w:sz w:val="20"/>
                <w:szCs w:val="20"/>
              </w:rPr>
            </w:pPr>
            <w:proofErr w:type="spellStart"/>
            <w:r>
              <w:rPr>
                <w:rFonts w:ascii="Times New Roman" w:hAnsi="Times New Roman" w:cs="Times New Roman"/>
                <w:b/>
                <w:bCs/>
                <w:color w:val="FFFFFF" w:themeColor="background1"/>
                <w:sz w:val="20"/>
                <w:szCs w:val="20"/>
              </w:rPr>
              <w:t>Pais</w:t>
            </w:r>
            <w:proofErr w:type="spellEnd"/>
          </w:p>
        </w:tc>
        <w:tc>
          <w:tcPr>
            <w:tcW w:w="990" w:type="dxa"/>
            <w:tcBorders>
              <w:top w:val="nil"/>
              <w:left w:val="nil"/>
              <w:bottom w:val="single" w:sz="2" w:space="0" w:color="AEAAAA" w:themeColor="background2" w:themeShade="BF"/>
              <w:right w:val="nil"/>
            </w:tcBorders>
            <w:shd w:val="clear" w:color="auto" w:fill="A5A5A5"/>
            <w:vAlign w:val="center"/>
          </w:tcPr>
          <w:p w14:paraId="0CFC809B" w14:textId="77777777" w:rsidR="00647F0B" w:rsidRPr="00226194" w:rsidRDefault="00647F0B" w:rsidP="00AB141B">
            <w:pPr>
              <w:jc w:val="right"/>
              <w:rPr>
                <w:rFonts w:ascii="Times New Roman" w:hAnsi="Times New Roman" w:cs="Times New Roman"/>
                <w:b/>
                <w:bCs/>
                <w:color w:val="FFFFFF" w:themeColor="background1"/>
                <w:sz w:val="20"/>
                <w:szCs w:val="20"/>
              </w:rPr>
            </w:pPr>
            <w:r w:rsidRPr="00226194">
              <w:rPr>
                <w:rFonts w:ascii="Times New Roman" w:hAnsi="Times New Roman" w:cs="Times New Roman"/>
                <w:b/>
                <w:bCs/>
                <w:color w:val="FFFFFF" w:themeColor="background1"/>
                <w:sz w:val="20"/>
                <w:szCs w:val="20"/>
              </w:rPr>
              <w:t>2020</w:t>
            </w:r>
          </w:p>
        </w:tc>
        <w:tc>
          <w:tcPr>
            <w:tcW w:w="1080" w:type="dxa"/>
            <w:tcBorders>
              <w:top w:val="nil"/>
              <w:left w:val="nil"/>
              <w:bottom w:val="single" w:sz="2" w:space="0" w:color="AEAAAA" w:themeColor="background2" w:themeShade="BF"/>
              <w:right w:val="nil"/>
            </w:tcBorders>
            <w:shd w:val="clear" w:color="auto" w:fill="A5A5A5"/>
            <w:vAlign w:val="center"/>
          </w:tcPr>
          <w:p w14:paraId="4DDE6B03" w14:textId="77777777" w:rsidR="00647F0B" w:rsidRPr="00226194" w:rsidRDefault="00647F0B" w:rsidP="00AB141B">
            <w:pPr>
              <w:jc w:val="right"/>
              <w:rPr>
                <w:rFonts w:ascii="Times New Roman" w:hAnsi="Times New Roman" w:cs="Times New Roman"/>
                <w:b/>
                <w:bCs/>
                <w:color w:val="FFFFFF" w:themeColor="background1"/>
                <w:sz w:val="20"/>
                <w:szCs w:val="20"/>
              </w:rPr>
            </w:pPr>
            <w:r w:rsidRPr="00226194">
              <w:rPr>
                <w:rFonts w:ascii="Times New Roman" w:hAnsi="Times New Roman" w:cs="Times New Roman"/>
                <w:b/>
                <w:bCs/>
                <w:color w:val="FFFFFF" w:themeColor="background1"/>
                <w:sz w:val="20"/>
                <w:szCs w:val="20"/>
              </w:rPr>
              <w:t>2021</w:t>
            </w:r>
          </w:p>
        </w:tc>
        <w:tc>
          <w:tcPr>
            <w:tcW w:w="810" w:type="dxa"/>
            <w:tcBorders>
              <w:top w:val="nil"/>
              <w:left w:val="nil"/>
              <w:bottom w:val="single" w:sz="2" w:space="0" w:color="AEAAAA" w:themeColor="background2" w:themeShade="BF"/>
              <w:right w:val="nil"/>
            </w:tcBorders>
            <w:shd w:val="clear" w:color="auto" w:fill="A5A5A5"/>
            <w:vAlign w:val="center"/>
          </w:tcPr>
          <w:p w14:paraId="68BC2E79" w14:textId="1D52D16C" w:rsidR="00647F0B" w:rsidRPr="00226194" w:rsidRDefault="00647F0B" w:rsidP="00AB141B">
            <w:pPr>
              <w:jc w:val="right"/>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VAR</w:t>
            </w:r>
          </w:p>
          <w:p w14:paraId="164FD6BD" w14:textId="77777777" w:rsidR="00647F0B" w:rsidRPr="00226194" w:rsidRDefault="00647F0B" w:rsidP="00AB141B">
            <w:pPr>
              <w:jc w:val="right"/>
              <w:rPr>
                <w:rFonts w:ascii="Times New Roman" w:hAnsi="Times New Roman" w:cs="Times New Roman"/>
                <w:b/>
                <w:bCs/>
                <w:color w:val="FFFFFF" w:themeColor="background1"/>
                <w:sz w:val="20"/>
                <w:szCs w:val="20"/>
              </w:rPr>
            </w:pPr>
            <w:r w:rsidRPr="00226194">
              <w:rPr>
                <w:rFonts w:ascii="Times New Roman" w:hAnsi="Times New Roman" w:cs="Times New Roman"/>
                <w:b/>
                <w:bCs/>
                <w:color w:val="FFFFFF" w:themeColor="background1"/>
                <w:sz w:val="20"/>
                <w:szCs w:val="20"/>
              </w:rPr>
              <w:t>%</w:t>
            </w:r>
          </w:p>
        </w:tc>
        <w:tc>
          <w:tcPr>
            <w:tcW w:w="1170" w:type="dxa"/>
            <w:tcBorders>
              <w:top w:val="nil"/>
              <w:left w:val="nil"/>
              <w:bottom w:val="single" w:sz="2" w:space="0" w:color="AEAAAA" w:themeColor="background2" w:themeShade="BF"/>
              <w:right w:val="nil"/>
            </w:tcBorders>
            <w:shd w:val="clear" w:color="auto" w:fill="A6A6A6" w:themeFill="background1" w:themeFillShade="A6"/>
            <w:vAlign w:val="center"/>
          </w:tcPr>
          <w:p w14:paraId="0FEDD107" w14:textId="55D2463F" w:rsidR="00647F0B" w:rsidRPr="00EA4F62" w:rsidRDefault="00647F0B" w:rsidP="00AB141B">
            <w:pPr>
              <w:jc w:val="right"/>
              <w:rPr>
                <w:rFonts w:ascii="Times New Roman" w:hAnsi="Times New Roman" w:cs="Times New Roman"/>
                <w:b/>
                <w:bCs/>
                <w:color w:val="FFFFFF" w:themeColor="background1"/>
                <w:sz w:val="20"/>
                <w:szCs w:val="20"/>
                <w:lang w:val="es-VE"/>
              </w:rPr>
            </w:pPr>
            <w:r w:rsidRPr="00EA4F62">
              <w:rPr>
                <w:rFonts w:ascii="Times New Roman" w:hAnsi="Times New Roman" w:cs="Times New Roman"/>
                <w:b/>
                <w:bCs/>
                <w:color w:val="FFFFFF" w:themeColor="background1"/>
                <w:sz w:val="20"/>
                <w:szCs w:val="20"/>
                <w:lang w:val="es-VE"/>
              </w:rPr>
              <w:t xml:space="preserve">% </w:t>
            </w:r>
            <w:proofErr w:type="spellStart"/>
            <w:r w:rsidR="00EA4F62" w:rsidRPr="00EA4F62">
              <w:rPr>
                <w:rFonts w:ascii="Times New Roman" w:hAnsi="Times New Roman" w:cs="Times New Roman"/>
                <w:b/>
                <w:bCs/>
                <w:color w:val="FFFFFF" w:themeColor="background1"/>
                <w:sz w:val="20"/>
                <w:szCs w:val="20"/>
                <w:lang w:val="es-VE"/>
              </w:rPr>
              <w:t>Part</w:t>
            </w:r>
            <w:proofErr w:type="spellEnd"/>
            <w:r w:rsidR="00EA4F62" w:rsidRPr="00EA4F62">
              <w:rPr>
                <w:rFonts w:ascii="Times New Roman" w:hAnsi="Times New Roman" w:cs="Times New Roman"/>
                <w:b/>
                <w:bCs/>
                <w:color w:val="FFFFFF" w:themeColor="background1"/>
                <w:sz w:val="20"/>
                <w:szCs w:val="20"/>
                <w:lang w:val="es-VE"/>
              </w:rPr>
              <w:t>. Merc. por</w:t>
            </w:r>
            <w:r w:rsidRPr="00EA4F62">
              <w:rPr>
                <w:rFonts w:ascii="Times New Roman" w:hAnsi="Times New Roman" w:cs="Times New Roman"/>
                <w:b/>
                <w:bCs/>
                <w:color w:val="FFFFFF" w:themeColor="background1"/>
                <w:sz w:val="20"/>
                <w:szCs w:val="20"/>
                <w:lang w:val="es-VE"/>
              </w:rPr>
              <w:t xml:space="preserve"> Volume</w:t>
            </w:r>
            <w:r w:rsidR="00EA4F62" w:rsidRPr="00EA4F62">
              <w:rPr>
                <w:rFonts w:ascii="Times New Roman" w:hAnsi="Times New Roman" w:cs="Times New Roman"/>
                <w:b/>
                <w:bCs/>
                <w:color w:val="FFFFFF" w:themeColor="background1"/>
                <w:sz w:val="20"/>
                <w:szCs w:val="20"/>
                <w:lang w:val="es-VE"/>
              </w:rPr>
              <w:t>n</w:t>
            </w:r>
            <w:r w:rsidRPr="00EA4F62">
              <w:rPr>
                <w:rFonts w:ascii="Times New Roman" w:hAnsi="Times New Roman" w:cs="Times New Roman"/>
                <w:b/>
                <w:bCs/>
                <w:color w:val="FFFFFF" w:themeColor="background1"/>
                <w:sz w:val="20"/>
                <w:szCs w:val="20"/>
                <w:lang w:val="es-VE"/>
              </w:rPr>
              <w:t xml:space="preserve"> </w:t>
            </w:r>
            <w:r w:rsidR="00EA4F62" w:rsidRPr="00EA4F62">
              <w:rPr>
                <w:rFonts w:ascii="Times New Roman" w:hAnsi="Times New Roman" w:cs="Times New Roman"/>
                <w:b/>
                <w:bCs/>
                <w:color w:val="FFFFFF" w:themeColor="background1"/>
                <w:sz w:val="20"/>
                <w:szCs w:val="20"/>
                <w:lang w:val="es-VE"/>
              </w:rPr>
              <w:t>e</w:t>
            </w:r>
            <w:r w:rsidRPr="00EA4F62">
              <w:rPr>
                <w:rFonts w:ascii="Times New Roman" w:hAnsi="Times New Roman" w:cs="Times New Roman"/>
                <w:b/>
                <w:bCs/>
                <w:color w:val="FFFFFF" w:themeColor="background1"/>
                <w:sz w:val="20"/>
                <w:szCs w:val="20"/>
                <w:lang w:val="es-VE"/>
              </w:rPr>
              <w:t>n 2021</w:t>
            </w:r>
          </w:p>
        </w:tc>
      </w:tr>
      <w:tr w:rsidR="00647F0B" w:rsidRPr="00CA5360" w14:paraId="74C1193C" w14:textId="77777777" w:rsidTr="00AB141B">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7DBD888B"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Brazil</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vAlign w:val="center"/>
          </w:tcPr>
          <w:p w14:paraId="6B2C4B28" w14:textId="77777777" w:rsidR="00647F0B" w:rsidRPr="00907B8E" w:rsidRDefault="00647F0B" w:rsidP="00AB141B">
            <w:pPr>
              <w:jc w:val="right"/>
              <w:rPr>
                <w:rFonts w:ascii="Times New Roman" w:hAnsi="Times New Roman" w:cs="Times New Roman"/>
                <w:sz w:val="20"/>
                <w:szCs w:val="20"/>
              </w:rPr>
            </w:pPr>
            <w:r w:rsidRPr="00907B8E">
              <w:rPr>
                <w:rFonts w:ascii="Times New Roman" w:hAnsi="Times New Roman" w:cs="Times New Roman"/>
                <w:sz w:val="20"/>
                <w:szCs w:val="20"/>
              </w:rPr>
              <w:t>684.7</w:t>
            </w:r>
          </w:p>
        </w:tc>
        <w:tc>
          <w:tcPr>
            <w:tcW w:w="1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1D4C37BE"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934.4</w:t>
            </w:r>
          </w:p>
        </w:tc>
        <w:tc>
          <w:tcPr>
            <w:tcW w:w="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10033165"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36.5 </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658A9A19"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37.9 </w:t>
            </w:r>
          </w:p>
        </w:tc>
        <w:tc>
          <w:tcPr>
            <w:tcW w:w="270" w:type="dxa"/>
            <w:tcBorders>
              <w:top w:val="nil"/>
              <w:left w:val="single" w:sz="4" w:space="0" w:color="A5A5A5" w:themeColor="accent3"/>
              <w:bottom w:val="nil"/>
              <w:right w:val="single" w:sz="2" w:space="0" w:color="AEAAAA" w:themeColor="background2" w:themeShade="BF"/>
            </w:tcBorders>
          </w:tcPr>
          <w:p w14:paraId="1146A9F2" w14:textId="77777777" w:rsidR="00647F0B" w:rsidRPr="00226194" w:rsidRDefault="00647F0B" w:rsidP="00AB141B">
            <w:pPr>
              <w:rPr>
                <w:rFonts w:ascii="Times New Roman" w:hAnsi="Times New Roman" w:cs="Times New Roman"/>
                <w:sz w:val="20"/>
                <w:szCs w:val="20"/>
              </w:rPr>
            </w:pP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5EF25BDD"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USA</w:t>
            </w:r>
          </w:p>
        </w:tc>
        <w:tc>
          <w:tcPr>
            <w:tcW w:w="99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vAlign w:val="center"/>
          </w:tcPr>
          <w:p w14:paraId="12BB1AE9"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1,323.7</w:t>
            </w:r>
          </w:p>
        </w:tc>
        <w:tc>
          <w:tcPr>
            <w:tcW w:w="108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2F040628"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1,416.2 </w:t>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486CF822"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7.0 </w:t>
            </w: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177814C2"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35.3 </w:t>
            </w:r>
          </w:p>
        </w:tc>
      </w:tr>
      <w:tr w:rsidR="00647F0B" w:rsidRPr="00CA5360" w14:paraId="444899DE" w14:textId="77777777" w:rsidTr="00AB141B">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F20CEE"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USA</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6E6E34D" w14:textId="77777777" w:rsidR="00647F0B" w:rsidRPr="00907B8E" w:rsidRDefault="00647F0B" w:rsidP="00AB141B">
            <w:pPr>
              <w:jc w:val="right"/>
              <w:rPr>
                <w:rFonts w:ascii="Times New Roman" w:hAnsi="Times New Roman" w:cs="Times New Roman"/>
                <w:sz w:val="20"/>
                <w:szCs w:val="20"/>
              </w:rPr>
            </w:pPr>
            <w:r w:rsidRPr="00907B8E">
              <w:rPr>
                <w:rFonts w:ascii="Times New Roman" w:hAnsi="Times New Roman" w:cs="Times New Roman"/>
                <w:sz w:val="20"/>
                <w:szCs w:val="20"/>
              </w:rPr>
              <w:t>438.0</w:t>
            </w:r>
          </w:p>
        </w:tc>
        <w:tc>
          <w:tcPr>
            <w:tcW w:w="1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AAB679"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634.1</w:t>
            </w:r>
          </w:p>
        </w:tc>
        <w:tc>
          <w:tcPr>
            <w:tcW w:w="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270DF5"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44.8 </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4F4D37"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25.7 </w:t>
            </w:r>
          </w:p>
        </w:tc>
        <w:tc>
          <w:tcPr>
            <w:tcW w:w="270" w:type="dxa"/>
            <w:tcBorders>
              <w:top w:val="nil"/>
              <w:left w:val="single" w:sz="4" w:space="0" w:color="A5A5A5" w:themeColor="accent3"/>
              <w:bottom w:val="nil"/>
              <w:right w:val="single" w:sz="2" w:space="0" w:color="AEAAAA" w:themeColor="background2" w:themeShade="BF"/>
            </w:tcBorders>
          </w:tcPr>
          <w:p w14:paraId="28520F53" w14:textId="77777777" w:rsidR="00647F0B" w:rsidRPr="00226194" w:rsidRDefault="00647F0B" w:rsidP="00AB141B">
            <w:pPr>
              <w:rPr>
                <w:rFonts w:ascii="Times New Roman" w:hAnsi="Times New Roman" w:cs="Times New Roman"/>
                <w:sz w:val="20"/>
                <w:szCs w:val="20"/>
              </w:rPr>
            </w:pP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6F229C8B"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Brazil</w:t>
            </w:r>
          </w:p>
        </w:tc>
        <w:tc>
          <w:tcPr>
            <w:tcW w:w="99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vAlign w:val="center"/>
          </w:tcPr>
          <w:p w14:paraId="1DDC85F2"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1,185.5</w:t>
            </w:r>
          </w:p>
        </w:tc>
        <w:tc>
          <w:tcPr>
            <w:tcW w:w="108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300B5BB9"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1,182.3 </w:t>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3ECA94A2"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w:t>
            </w:r>
            <w:r>
              <w:rPr>
                <w:rFonts w:ascii="Times New Roman" w:hAnsi="Times New Roman" w:cs="Times New Roman"/>
                <w:sz w:val="20"/>
                <w:szCs w:val="20"/>
              </w:rPr>
              <w:t>-</w:t>
            </w:r>
            <w:r w:rsidRPr="00466B13">
              <w:rPr>
                <w:rFonts w:ascii="Times New Roman" w:hAnsi="Times New Roman" w:cs="Times New Roman"/>
                <w:sz w:val="20"/>
                <w:szCs w:val="20"/>
              </w:rPr>
              <w:t>0.3</w:t>
            </w: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7CB4EF2D"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29.4 </w:t>
            </w:r>
          </w:p>
        </w:tc>
      </w:tr>
      <w:tr w:rsidR="00647F0B" w:rsidRPr="00CA5360" w14:paraId="18C905B2" w14:textId="77777777" w:rsidTr="00AB141B">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3043B1B1" w14:textId="254CA253" w:rsidR="00647F0B" w:rsidRPr="00226194" w:rsidRDefault="00647F0B" w:rsidP="00AB141B">
            <w:pPr>
              <w:rPr>
                <w:rFonts w:ascii="Times New Roman" w:hAnsi="Times New Roman" w:cs="Times New Roman"/>
                <w:sz w:val="20"/>
                <w:szCs w:val="20"/>
              </w:rPr>
            </w:pPr>
            <w:proofErr w:type="spellStart"/>
            <w:r>
              <w:rPr>
                <w:rFonts w:ascii="Times New Roman" w:hAnsi="Times New Roman" w:cs="Times New Roman"/>
                <w:sz w:val="20"/>
                <w:szCs w:val="20"/>
              </w:rPr>
              <w:t>Turquia</w:t>
            </w:r>
            <w:proofErr w:type="spellEnd"/>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vAlign w:val="center"/>
          </w:tcPr>
          <w:p w14:paraId="30049730" w14:textId="77777777" w:rsidR="00647F0B" w:rsidRPr="00907B8E" w:rsidRDefault="00647F0B" w:rsidP="00AB141B">
            <w:pPr>
              <w:jc w:val="right"/>
              <w:rPr>
                <w:rFonts w:ascii="Times New Roman" w:hAnsi="Times New Roman" w:cs="Times New Roman"/>
                <w:sz w:val="20"/>
                <w:szCs w:val="20"/>
              </w:rPr>
            </w:pPr>
            <w:r w:rsidRPr="00907B8E">
              <w:rPr>
                <w:rFonts w:ascii="Times New Roman" w:hAnsi="Times New Roman" w:cs="Times New Roman"/>
                <w:sz w:val="20"/>
                <w:szCs w:val="20"/>
              </w:rPr>
              <w:t>197.9</w:t>
            </w:r>
          </w:p>
        </w:tc>
        <w:tc>
          <w:tcPr>
            <w:tcW w:w="1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3B28D5A5"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223.1</w:t>
            </w:r>
          </w:p>
        </w:tc>
        <w:tc>
          <w:tcPr>
            <w:tcW w:w="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2898E02D"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12.8 </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0BDCF1E5"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9.1 </w:t>
            </w:r>
          </w:p>
        </w:tc>
        <w:tc>
          <w:tcPr>
            <w:tcW w:w="270" w:type="dxa"/>
            <w:tcBorders>
              <w:top w:val="nil"/>
              <w:left w:val="single" w:sz="4" w:space="0" w:color="A5A5A5" w:themeColor="accent3"/>
              <w:bottom w:val="nil"/>
              <w:right w:val="single" w:sz="2" w:space="0" w:color="AEAAAA" w:themeColor="background2" w:themeShade="BF"/>
            </w:tcBorders>
          </w:tcPr>
          <w:p w14:paraId="3638A5F9" w14:textId="77777777" w:rsidR="00647F0B" w:rsidRPr="00226194" w:rsidRDefault="00647F0B" w:rsidP="00AB141B">
            <w:pPr>
              <w:rPr>
                <w:rFonts w:ascii="Times New Roman" w:hAnsi="Times New Roman" w:cs="Times New Roman"/>
                <w:sz w:val="20"/>
                <w:szCs w:val="20"/>
              </w:rPr>
            </w:pP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36441BBF" w14:textId="34E9E239" w:rsidR="00647F0B" w:rsidRPr="00226194" w:rsidRDefault="00647F0B" w:rsidP="00AB141B">
            <w:pPr>
              <w:rPr>
                <w:rFonts w:ascii="Times New Roman" w:hAnsi="Times New Roman" w:cs="Times New Roman"/>
                <w:sz w:val="20"/>
                <w:szCs w:val="20"/>
              </w:rPr>
            </w:pPr>
            <w:proofErr w:type="spellStart"/>
            <w:r>
              <w:rPr>
                <w:rFonts w:ascii="Times New Roman" w:hAnsi="Times New Roman" w:cs="Times New Roman"/>
                <w:sz w:val="20"/>
                <w:szCs w:val="20"/>
              </w:rPr>
              <w:t>Turquia</w:t>
            </w:r>
            <w:proofErr w:type="spellEnd"/>
          </w:p>
        </w:tc>
        <w:tc>
          <w:tcPr>
            <w:tcW w:w="99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vAlign w:val="center"/>
          </w:tcPr>
          <w:p w14:paraId="6DE94381"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394.7</w:t>
            </w:r>
          </w:p>
        </w:tc>
        <w:tc>
          <w:tcPr>
            <w:tcW w:w="108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28CF92E4"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355.9 </w:t>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3E430560"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w:t>
            </w:r>
            <w:r>
              <w:rPr>
                <w:rFonts w:ascii="Times New Roman" w:hAnsi="Times New Roman" w:cs="Times New Roman"/>
                <w:sz w:val="20"/>
                <w:szCs w:val="20"/>
              </w:rPr>
              <w:t>-</w:t>
            </w:r>
            <w:r w:rsidRPr="00466B13">
              <w:rPr>
                <w:rFonts w:ascii="Times New Roman" w:hAnsi="Times New Roman" w:cs="Times New Roman"/>
                <w:sz w:val="20"/>
                <w:szCs w:val="20"/>
              </w:rPr>
              <w:t>9.8</w:t>
            </w: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2C3217D5"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8.9 </w:t>
            </w:r>
          </w:p>
        </w:tc>
      </w:tr>
      <w:tr w:rsidR="00647F0B" w:rsidRPr="00CA5360" w14:paraId="48DEE653" w14:textId="77777777" w:rsidTr="00AB141B">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EC43CB"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Mexico</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CF1C38C" w14:textId="77777777" w:rsidR="00647F0B" w:rsidRPr="00907B8E" w:rsidRDefault="00647F0B" w:rsidP="00AB141B">
            <w:pPr>
              <w:jc w:val="right"/>
              <w:rPr>
                <w:rFonts w:ascii="Times New Roman" w:hAnsi="Times New Roman" w:cs="Times New Roman"/>
                <w:sz w:val="20"/>
                <w:szCs w:val="20"/>
              </w:rPr>
            </w:pPr>
            <w:r w:rsidRPr="00907B8E">
              <w:rPr>
                <w:rFonts w:ascii="Times New Roman" w:hAnsi="Times New Roman" w:cs="Times New Roman"/>
                <w:sz w:val="20"/>
                <w:szCs w:val="20"/>
              </w:rPr>
              <w:t>182.8</w:t>
            </w:r>
          </w:p>
        </w:tc>
        <w:tc>
          <w:tcPr>
            <w:tcW w:w="1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E7B4FE"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122.3</w:t>
            </w:r>
          </w:p>
        </w:tc>
        <w:tc>
          <w:tcPr>
            <w:tcW w:w="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11733BE"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w:t>
            </w:r>
            <w:r>
              <w:rPr>
                <w:rFonts w:ascii="Times New Roman" w:hAnsi="Times New Roman" w:cs="Times New Roman"/>
                <w:sz w:val="20"/>
                <w:szCs w:val="20"/>
              </w:rPr>
              <w:t>-</w:t>
            </w:r>
            <w:r w:rsidRPr="00443584">
              <w:rPr>
                <w:rFonts w:ascii="Times New Roman" w:hAnsi="Times New Roman" w:cs="Times New Roman"/>
                <w:sz w:val="20"/>
                <w:szCs w:val="20"/>
              </w:rPr>
              <w:t>33.1</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28ADBA"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5.0 </w:t>
            </w:r>
          </w:p>
        </w:tc>
        <w:tc>
          <w:tcPr>
            <w:tcW w:w="270" w:type="dxa"/>
            <w:tcBorders>
              <w:top w:val="nil"/>
              <w:left w:val="single" w:sz="4" w:space="0" w:color="A5A5A5" w:themeColor="accent3"/>
              <w:bottom w:val="nil"/>
              <w:right w:val="single" w:sz="2" w:space="0" w:color="AEAAAA" w:themeColor="background2" w:themeShade="BF"/>
            </w:tcBorders>
          </w:tcPr>
          <w:p w14:paraId="1D9DB122" w14:textId="77777777" w:rsidR="00647F0B" w:rsidRPr="00226194" w:rsidRDefault="00647F0B" w:rsidP="00AB141B">
            <w:pPr>
              <w:rPr>
                <w:rFonts w:ascii="Times New Roman" w:hAnsi="Times New Roman" w:cs="Times New Roman"/>
                <w:sz w:val="20"/>
                <w:szCs w:val="20"/>
              </w:rPr>
            </w:pP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45A12E68"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Canada</w:t>
            </w:r>
          </w:p>
        </w:tc>
        <w:tc>
          <w:tcPr>
            <w:tcW w:w="99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vAlign w:val="center"/>
          </w:tcPr>
          <w:p w14:paraId="537E2971"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153.1</w:t>
            </w:r>
          </w:p>
        </w:tc>
        <w:tc>
          <w:tcPr>
            <w:tcW w:w="108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2A08AFD7"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292.6 </w:t>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2A4E9224"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91.2 </w:t>
            </w: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23492A0C"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7.3 </w:t>
            </w:r>
          </w:p>
        </w:tc>
      </w:tr>
      <w:tr w:rsidR="00647F0B" w:rsidRPr="00CA5360" w14:paraId="55998B09" w14:textId="77777777" w:rsidTr="00AB141B">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2A36E16F"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Canada</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vAlign w:val="center"/>
          </w:tcPr>
          <w:p w14:paraId="16732CA7" w14:textId="77777777" w:rsidR="00647F0B" w:rsidRPr="00907B8E" w:rsidRDefault="00647F0B" w:rsidP="00AB141B">
            <w:pPr>
              <w:jc w:val="right"/>
              <w:rPr>
                <w:rFonts w:ascii="Times New Roman" w:hAnsi="Times New Roman" w:cs="Times New Roman"/>
                <w:sz w:val="20"/>
                <w:szCs w:val="20"/>
              </w:rPr>
            </w:pPr>
            <w:r w:rsidRPr="00907B8E">
              <w:rPr>
                <w:rFonts w:ascii="Times New Roman" w:hAnsi="Times New Roman" w:cs="Times New Roman"/>
                <w:sz w:val="20"/>
                <w:szCs w:val="20"/>
              </w:rPr>
              <w:t>44.4</w:t>
            </w:r>
          </w:p>
        </w:tc>
        <w:tc>
          <w:tcPr>
            <w:tcW w:w="1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5B84C787"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122.5</w:t>
            </w:r>
          </w:p>
        </w:tc>
        <w:tc>
          <w:tcPr>
            <w:tcW w:w="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0FE75D1D"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175.7 </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39EBD78F"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5.0 </w:t>
            </w:r>
          </w:p>
        </w:tc>
        <w:tc>
          <w:tcPr>
            <w:tcW w:w="270" w:type="dxa"/>
            <w:tcBorders>
              <w:top w:val="nil"/>
              <w:left w:val="single" w:sz="4" w:space="0" w:color="A5A5A5" w:themeColor="accent3"/>
              <w:bottom w:val="nil"/>
              <w:right w:val="single" w:sz="2" w:space="0" w:color="AEAAAA" w:themeColor="background2" w:themeShade="BF"/>
            </w:tcBorders>
          </w:tcPr>
          <w:p w14:paraId="27B9615E" w14:textId="77777777" w:rsidR="00647F0B" w:rsidRPr="00226194" w:rsidRDefault="00647F0B" w:rsidP="00AB141B">
            <w:pPr>
              <w:rPr>
                <w:rFonts w:ascii="Times New Roman" w:hAnsi="Times New Roman" w:cs="Times New Roman"/>
                <w:sz w:val="20"/>
                <w:szCs w:val="20"/>
              </w:rPr>
            </w:pP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0DD91384"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Mexico</w:t>
            </w:r>
          </w:p>
        </w:tc>
        <w:tc>
          <w:tcPr>
            <w:tcW w:w="99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vAlign w:val="center"/>
          </w:tcPr>
          <w:p w14:paraId="5BCE638D"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713.0</w:t>
            </w:r>
          </w:p>
        </w:tc>
        <w:tc>
          <w:tcPr>
            <w:tcW w:w="108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17CE05B2"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275.8 </w:t>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55BD3F9A"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w:t>
            </w:r>
            <w:r>
              <w:rPr>
                <w:rFonts w:ascii="Times New Roman" w:hAnsi="Times New Roman" w:cs="Times New Roman"/>
                <w:sz w:val="20"/>
                <w:szCs w:val="20"/>
              </w:rPr>
              <w:t>-</w:t>
            </w:r>
            <w:r w:rsidRPr="00466B13">
              <w:rPr>
                <w:rFonts w:ascii="Times New Roman" w:hAnsi="Times New Roman" w:cs="Times New Roman"/>
                <w:sz w:val="20"/>
                <w:szCs w:val="20"/>
              </w:rPr>
              <w:t>61.3</w:t>
            </w: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583DCACA"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6.9 </w:t>
            </w:r>
          </w:p>
        </w:tc>
      </w:tr>
      <w:tr w:rsidR="00647F0B" w:rsidRPr="00CA5360" w14:paraId="47410DF2" w14:textId="77777777" w:rsidTr="00AB141B">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7E77C86F" w14:textId="7DA67436" w:rsidR="00647F0B" w:rsidRPr="00226194" w:rsidRDefault="00647F0B" w:rsidP="00AB141B">
            <w:pPr>
              <w:rPr>
                <w:rFonts w:ascii="Times New Roman" w:hAnsi="Times New Roman" w:cs="Times New Roman"/>
                <w:sz w:val="20"/>
                <w:szCs w:val="20"/>
              </w:rPr>
            </w:pPr>
            <w:proofErr w:type="spellStart"/>
            <w:r>
              <w:rPr>
                <w:rFonts w:ascii="Times New Roman" w:hAnsi="Times New Roman" w:cs="Times New Roman"/>
                <w:sz w:val="20"/>
                <w:szCs w:val="20"/>
              </w:rPr>
              <w:t>Otros</w:t>
            </w:r>
            <w:proofErr w:type="spellEnd"/>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5451474E" w14:textId="77777777" w:rsidR="00647F0B" w:rsidRPr="00907B8E" w:rsidRDefault="00647F0B" w:rsidP="00AB141B">
            <w:pPr>
              <w:jc w:val="right"/>
              <w:rPr>
                <w:rFonts w:ascii="Times New Roman" w:hAnsi="Times New Roman" w:cs="Times New Roman"/>
                <w:sz w:val="20"/>
                <w:szCs w:val="20"/>
              </w:rPr>
            </w:pPr>
            <w:r w:rsidRPr="00907B8E">
              <w:rPr>
                <w:rFonts w:ascii="Times New Roman" w:hAnsi="Times New Roman" w:cs="Times New Roman"/>
                <w:sz w:val="20"/>
                <w:szCs w:val="20"/>
              </w:rPr>
              <w:t>303.3</w:t>
            </w:r>
          </w:p>
        </w:tc>
        <w:tc>
          <w:tcPr>
            <w:tcW w:w="1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4D295446"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426.9</w:t>
            </w:r>
          </w:p>
        </w:tc>
        <w:tc>
          <w:tcPr>
            <w:tcW w:w="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4592F292"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40.7 </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170AF85"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17.3 </w:t>
            </w:r>
          </w:p>
        </w:tc>
        <w:tc>
          <w:tcPr>
            <w:tcW w:w="270" w:type="dxa"/>
            <w:tcBorders>
              <w:top w:val="nil"/>
              <w:left w:val="single" w:sz="4" w:space="0" w:color="A5A5A5" w:themeColor="accent3"/>
              <w:bottom w:val="nil"/>
              <w:right w:val="single" w:sz="2" w:space="0" w:color="AEAAAA" w:themeColor="background2" w:themeShade="BF"/>
            </w:tcBorders>
            <w:shd w:val="clear" w:color="auto" w:fill="FFFFFF" w:themeFill="background1"/>
          </w:tcPr>
          <w:p w14:paraId="4B0A4B0C" w14:textId="77777777" w:rsidR="00647F0B" w:rsidRPr="00226194" w:rsidRDefault="00647F0B" w:rsidP="00AB141B">
            <w:pPr>
              <w:rPr>
                <w:rFonts w:ascii="Times New Roman" w:hAnsi="Times New Roman" w:cs="Times New Roman"/>
                <w:sz w:val="20"/>
                <w:szCs w:val="20"/>
              </w:rPr>
            </w:pP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64EDDB02" w14:textId="07DCBBF5" w:rsidR="00647F0B" w:rsidRPr="00226194" w:rsidRDefault="00647F0B" w:rsidP="00AB141B">
            <w:pPr>
              <w:rPr>
                <w:rFonts w:ascii="Times New Roman" w:hAnsi="Times New Roman" w:cs="Times New Roman"/>
                <w:sz w:val="20"/>
                <w:szCs w:val="20"/>
              </w:rPr>
            </w:pPr>
            <w:proofErr w:type="spellStart"/>
            <w:r>
              <w:rPr>
                <w:rFonts w:ascii="Times New Roman" w:hAnsi="Times New Roman" w:cs="Times New Roman"/>
                <w:sz w:val="20"/>
                <w:szCs w:val="20"/>
              </w:rPr>
              <w:t>Otros</w:t>
            </w:r>
            <w:proofErr w:type="spellEnd"/>
          </w:p>
        </w:tc>
        <w:tc>
          <w:tcPr>
            <w:tcW w:w="99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vAlign w:val="center"/>
          </w:tcPr>
          <w:p w14:paraId="13F7B8CA"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462.2</w:t>
            </w:r>
          </w:p>
        </w:tc>
        <w:tc>
          <w:tcPr>
            <w:tcW w:w="108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2178E7CA"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494.5 </w:t>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3660F205"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7.0 </w:t>
            </w: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tcPr>
          <w:p w14:paraId="40318827"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12.3 </w:t>
            </w:r>
          </w:p>
        </w:tc>
      </w:tr>
      <w:tr w:rsidR="00647F0B" w:rsidRPr="00CA5360" w14:paraId="24E911AD" w14:textId="77777777" w:rsidTr="00AB141B">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25C0C539"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Total</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vAlign w:val="center"/>
          </w:tcPr>
          <w:p w14:paraId="6F5ADA0B" w14:textId="77777777" w:rsidR="00647F0B" w:rsidRPr="00907B8E" w:rsidRDefault="00647F0B" w:rsidP="00AB141B">
            <w:pPr>
              <w:jc w:val="right"/>
              <w:rPr>
                <w:rFonts w:ascii="Times New Roman" w:hAnsi="Times New Roman" w:cs="Times New Roman"/>
                <w:sz w:val="20"/>
                <w:szCs w:val="20"/>
              </w:rPr>
            </w:pPr>
            <w:r w:rsidRPr="00907B8E">
              <w:rPr>
                <w:rFonts w:ascii="Times New Roman" w:hAnsi="Times New Roman" w:cs="Times New Roman"/>
                <w:sz w:val="20"/>
                <w:szCs w:val="20"/>
              </w:rPr>
              <w:t>1,851.1</w:t>
            </w:r>
          </w:p>
        </w:tc>
        <w:tc>
          <w:tcPr>
            <w:tcW w:w="10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0B6BDCFF"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2,463.4 </w:t>
            </w:r>
          </w:p>
        </w:tc>
        <w:tc>
          <w:tcPr>
            <w:tcW w:w="8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4409E5FF"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 xml:space="preserve"> 33.1 </w:t>
            </w:r>
          </w:p>
        </w:tc>
        <w:tc>
          <w:tcPr>
            <w:tcW w:w="1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vAlign w:val="center"/>
          </w:tcPr>
          <w:p w14:paraId="4AC94CCA" w14:textId="77777777" w:rsidR="00647F0B" w:rsidRPr="00443584" w:rsidRDefault="00647F0B" w:rsidP="00AB141B">
            <w:pPr>
              <w:jc w:val="right"/>
              <w:rPr>
                <w:rFonts w:ascii="Times New Roman" w:hAnsi="Times New Roman" w:cs="Times New Roman"/>
                <w:sz w:val="20"/>
                <w:szCs w:val="20"/>
              </w:rPr>
            </w:pPr>
            <w:r w:rsidRPr="00443584">
              <w:rPr>
                <w:rFonts w:ascii="Times New Roman" w:hAnsi="Times New Roman" w:cs="Times New Roman"/>
                <w:sz w:val="20"/>
                <w:szCs w:val="20"/>
              </w:rPr>
              <w:t>-</w:t>
            </w:r>
          </w:p>
        </w:tc>
        <w:tc>
          <w:tcPr>
            <w:tcW w:w="270" w:type="dxa"/>
            <w:tcBorders>
              <w:top w:val="nil"/>
              <w:left w:val="single" w:sz="4" w:space="0" w:color="A5A5A5" w:themeColor="accent3"/>
              <w:bottom w:val="nil"/>
              <w:right w:val="single" w:sz="2" w:space="0" w:color="AEAAAA" w:themeColor="background2" w:themeShade="BF"/>
            </w:tcBorders>
          </w:tcPr>
          <w:p w14:paraId="2793C377" w14:textId="77777777" w:rsidR="00647F0B" w:rsidRPr="00226194" w:rsidRDefault="00647F0B" w:rsidP="00AB141B">
            <w:pPr>
              <w:rPr>
                <w:rFonts w:ascii="Times New Roman" w:hAnsi="Times New Roman" w:cs="Times New Roman"/>
                <w:sz w:val="20"/>
                <w:szCs w:val="20"/>
              </w:rPr>
            </w:pP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6ABE7D27" w14:textId="77777777" w:rsidR="00647F0B" w:rsidRPr="00226194" w:rsidRDefault="00647F0B" w:rsidP="00AB141B">
            <w:pPr>
              <w:rPr>
                <w:rFonts w:ascii="Times New Roman" w:hAnsi="Times New Roman" w:cs="Times New Roman"/>
                <w:sz w:val="20"/>
                <w:szCs w:val="20"/>
              </w:rPr>
            </w:pPr>
            <w:r w:rsidRPr="00226194">
              <w:rPr>
                <w:rFonts w:ascii="Times New Roman" w:hAnsi="Times New Roman" w:cs="Times New Roman"/>
                <w:sz w:val="20"/>
                <w:szCs w:val="20"/>
              </w:rPr>
              <w:t>Total</w:t>
            </w:r>
          </w:p>
        </w:tc>
        <w:tc>
          <w:tcPr>
            <w:tcW w:w="99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vAlign w:val="center"/>
          </w:tcPr>
          <w:p w14:paraId="28D4219A"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4,232.1</w:t>
            </w:r>
          </w:p>
        </w:tc>
        <w:tc>
          <w:tcPr>
            <w:tcW w:w="108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6D19E204"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4,017.4 </w:t>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tcPr>
          <w:p w14:paraId="1500A1D3"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 xml:space="preserve"> </w:t>
            </w:r>
            <w:r>
              <w:rPr>
                <w:rFonts w:ascii="Times New Roman" w:hAnsi="Times New Roman" w:cs="Times New Roman"/>
                <w:sz w:val="20"/>
                <w:szCs w:val="20"/>
              </w:rPr>
              <w:t>-</w:t>
            </w:r>
            <w:r w:rsidRPr="00466B13">
              <w:rPr>
                <w:rFonts w:ascii="Times New Roman" w:hAnsi="Times New Roman" w:cs="Times New Roman"/>
                <w:sz w:val="20"/>
                <w:szCs w:val="20"/>
              </w:rPr>
              <w:t>5.1</w:t>
            </w:r>
          </w:p>
        </w:tc>
        <w:tc>
          <w:tcPr>
            <w:tcW w:w="11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EDEDED"/>
            <w:vAlign w:val="center"/>
          </w:tcPr>
          <w:p w14:paraId="544CE48F" w14:textId="77777777" w:rsidR="00647F0B" w:rsidRPr="00466B13" w:rsidRDefault="00647F0B" w:rsidP="00AB141B">
            <w:pPr>
              <w:jc w:val="right"/>
              <w:rPr>
                <w:rFonts w:ascii="Times New Roman" w:hAnsi="Times New Roman" w:cs="Times New Roman"/>
                <w:sz w:val="20"/>
                <w:szCs w:val="20"/>
              </w:rPr>
            </w:pPr>
            <w:r w:rsidRPr="00466B13">
              <w:rPr>
                <w:rFonts w:ascii="Times New Roman" w:hAnsi="Times New Roman" w:cs="Times New Roman"/>
                <w:sz w:val="20"/>
                <w:szCs w:val="20"/>
              </w:rPr>
              <w:t>-</w:t>
            </w:r>
          </w:p>
        </w:tc>
      </w:tr>
      <w:tr w:rsidR="00647F0B" w:rsidRPr="00B65708" w14:paraId="5C40B1DF" w14:textId="77777777" w:rsidTr="00AB141B">
        <w:tc>
          <w:tcPr>
            <w:tcW w:w="5400" w:type="dxa"/>
            <w:gridSpan w:val="5"/>
            <w:tcBorders>
              <w:top w:val="single" w:sz="4" w:space="0" w:color="A5A5A5" w:themeColor="accent3"/>
              <w:left w:val="nil"/>
              <w:bottom w:val="single" w:sz="4" w:space="0" w:color="A5A5A5" w:themeColor="accent3"/>
              <w:right w:val="nil"/>
            </w:tcBorders>
          </w:tcPr>
          <w:p w14:paraId="1C57D784" w14:textId="4BE68315" w:rsidR="00647F0B" w:rsidRPr="0041190F" w:rsidRDefault="00EA4F62" w:rsidP="00AB141B">
            <w:pPr>
              <w:rPr>
                <w:rFonts w:ascii="Times New Roman" w:hAnsi="Times New Roman" w:cs="Times New Roman"/>
                <w:i/>
                <w:iCs/>
                <w:sz w:val="24"/>
                <w:szCs w:val="24"/>
              </w:rPr>
            </w:pPr>
            <w:r>
              <w:rPr>
                <w:rFonts w:ascii="Times New Roman" w:hAnsi="Times New Roman" w:cs="Times New Roman"/>
                <w:i/>
                <w:iCs/>
                <w:sz w:val="16"/>
                <w:szCs w:val="16"/>
              </w:rPr>
              <w:t>Fuente</w:t>
            </w:r>
            <w:r w:rsidR="00647F0B" w:rsidRPr="0041190F">
              <w:rPr>
                <w:rFonts w:ascii="Times New Roman" w:hAnsi="Times New Roman" w:cs="Times New Roman"/>
                <w:i/>
                <w:iCs/>
                <w:sz w:val="16"/>
                <w:szCs w:val="16"/>
              </w:rPr>
              <w:t xml:space="preserve">: Trade Data Monitor. </w:t>
            </w:r>
          </w:p>
        </w:tc>
        <w:tc>
          <w:tcPr>
            <w:tcW w:w="270" w:type="dxa"/>
            <w:tcBorders>
              <w:top w:val="nil"/>
              <w:left w:val="nil"/>
              <w:bottom w:val="nil"/>
              <w:right w:val="nil"/>
            </w:tcBorders>
          </w:tcPr>
          <w:p w14:paraId="70F3A93C" w14:textId="77777777" w:rsidR="00647F0B" w:rsidRPr="0041190F" w:rsidRDefault="00647F0B" w:rsidP="00AB141B">
            <w:pPr>
              <w:rPr>
                <w:rFonts w:ascii="Times New Roman" w:hAnsi="Times New Roman" w:cs="Times New Roman"/>
                <w:i/>
                <w:iCs/>
                <w:sz w:val="24"/>
                <w:szCs w:val="24"/>
              </w:rPr>
            </w:pPr>
          </w:p>
        </w:tc>
        <w:tc>
          <w:tcPr>
            <w:tcW w:w="5220" w:type="dxa"/>
            <w:gridSpan w:val="5"/>
            <w:tcBorders>
              <w:top w:val="single" w:sz="2" w:space="0" w:color="AEAAAA" w:themeColor="background2" w:themeShade="BF"/>
              <w:left w:val="nil"/>
              <w:bottom w:val="single" w:sz="2" w:space="0" w:color="AEAAAA" w:themeColor="background2" w:themeShade="BF"/>
              <w:right w:val="nil"/>
            </w:tcBorders>
          </w:tcPr>
          <w:p w14:paraId="4EB04B2C" w14:textId="15672062" w:rsidR="00647F0B" w:rsidRPr="00EA4F62" w:rsidRDefault="00EA4F62" w:rsidP="00AB141B">
            <w:pPr>
              <w:rPr>
                <w:rFonts w:ascii="Times New Roman" w:hAnsi="Times New Roman" w:cs="Times New Roman"/>
                <w:i/>
                <w:iCs/>
                <w:sz w:val="24"/>
                <w:szCs w:val="24"/>
                <w:lang w:val="es-VE"/>
              </w:rPr>
            </w:pPr>
            <w:r w:rsidRPr="00B65708">
              <w:rPr>
                <w:rFonts w:ascii="Times New Roman" w:hAnsi="Times New Roman" w:cs="Times New Roman"/>
                <w:i/>
                <w:iCs/>
                <w:sz w:val="16"/>
                <w:szCs w:val="16"/>
                <w:lang w:val="es-VE"/>
              </w:rPr>
              <w:t>Fuente</w:t>
            </w:r>
            <w:r w:rsidR="00647F0B" w:rsidRPr="00B65708">
              <w:rPr>
                <w:rFonts w:ascii="Times New Roman" w:hAnsi="Times New Roman" w:cs="Times New Roman"/>
                <w:i/>
                <w:iCs/>
                <w:sz w:val="16"/>
                <w:szCs w:val="16"/>
                <w:lang w:val="es-VE"/>
              </w:rPr>
              <w:t xml:space="preserve">: </w:t>
            </w:r>
            <w:proofErr w:type="spellStart"/>
            <w:r w:rsidR="00647F0B" w:rsidRPr="00B65708">
              <w:rPr>
                <w:rFonts w:ascii="Times New Roman" w:hAnsi="Times New Roman" w:cs="Times New Roman"/>
                <w:i/>
                <w:iCs/>
                <w:sz w:val="16"/>
                <w:szCs w:val="16"/>
                <w:lang w:val="es-VE"/>
              </w:rPr>
              <w:t>Trade</w:t>
            </w:r>
            <w:proofErr w:type="spellEnd"/>
            <w:r w:rsidR="00647F0B" w:rsidRPr="00B65708">
              <w:rPr>
                <w:rFonts w:ascii="Times New Roman" w:hAnsi="Times New Roman" w:cs="Times New Roman"/>
                <w:i/>
                <w:iCs/>
                <w:sz w:val="16"/>
                <w:szCs w:val="16"/>
                <w:lang w:val="es-VE"/>
              </w:rPr>
              <w:t xml:space="preserve"> Data Monitor. </w:t>
            </w:r>
            <w:r w:rsidR="00647F0B" w:rsidRPr="00EA4F62">
              <w:rPr>
                <w:rFonts w:ascii="Times New Roman" w:hAnsi="Times New Roman" w:cs="Times New Roman"/>
                <w:i/>
                <w:iCs/>
                <w:sz w:val="16"/>
                <w:szCs w:val="16"/>
                <w:lang w:val="es-VE"/>
              </w:rPr>
              <w:t xml:space="preserve">* </w:t>
            </w:r>
            <w:r w:rsidRPr="00EA4F62">
              <w:rPr>
                <w:rFonts w:ascii="Times New Roman" w:hAnsi="Times New Roman" w:cs="Times New Roman"/>
                <w:i/>
                <w:iCs/>
                <w:sz w:val="16"/>
                <w:szCs w:val="16"/>
                <w:lang w:val="es-VE"/>
              </w:rPr>
              <w:t>Solo productos comercializados en T</w:t>
            </w:r>
            <w:r>
              <w:rPr>
                <w:rFonts w:ascii="Times New Roman" w:hAnsi="Times New Roman" w:cs="Times New Roman"/>
                <w:i/>
                <w:iCs/>
                <w:sz w:val="16"/>
                <w:szCs w:val="16"/>
                <w:lang w:val="es-VE"/>
              </w:rPr>
              <w:t>M</w:t>
            </w:r>
          </w:p>
        </w:tc>
      </w:tr>
    </w:tbl>
    <w:p w14:paraId="3D38D85D" w14:textId="48D13EC7" w:rsidR="00491FB6" w:rsidRPr="00EA4F62" w:rsidRDefault="00491FB6" w:rsidP="00B11A37">
      <w:pPr>
        <w:rPr>
          <w:rFonts w:ascii="Times New Roman" w:hAnsi="Times New Roman" w:cs="Times New Roman"/>
          <w:sz w:val="24"/>
          <w:szCs w:val="24"/>
          <w:lang w:val="es-VE"/>
        </w:rPr>
      </w:pPr>
    </w:p>
    <w:p w14:paraId="42465BA8" w14:textId="77777777" w:rsidR="002F735F" w:rsidRPr="00B65708" w:rsidRDefault="002F735F" w:rsidP="002F735F">
      <w:pPr>
        <w:spacing w:after="0" w:line="240" w:lineRule="auto"/>
        <w:rPr>
          <w:rFonts w:ascii="Times New Roman" w:hAnsi="Times New Roman" w:cs="Times New Roman"/>
          <w:b/>
          <w:bCs/>
          <w:sz w:val="24"/>
          <w:szCs w:val="24"/>
          <w:lang w:val="es-V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797"/>
      </w:tblGrid>
      <w:tr w:rsidR="00083862" w:rsidRPr="00B65708" w14:paraId="158662A8" w14:textId="77777777" w:rsidTr="00083862">
        <w:tc>
          <w:tcPr>
            <w:tcW w:w="4563" w:type="dxa"/>
          </w:tcPr>
          <w:p w14:paraId="20371679" w14:textId="6751373E" w:rsidR="002F735F" w:rsidRPr="00083862" w:rsidRDefault="002F735F" w:rsidP="00AB141B">
            <w:pPr>
              <w:rPr>
                <w:rFonts w:ascii="Times New Roman" w:hAnsi="Times New Roman" w:cs="Times New Roman"/>
                <w:b/>
                <w:bCs/>
                <w:sz w:val="24"/>
                <w:szCs w:val="24"/>
                <w:lang w:val="es-VE"/>
              </w:rPr>
            </w:pPr>
            <w:bookmarkStart w:id="2" w:name="_Hlk93050443"/>
            <w:r w:rsidRPr="00083862">
              <w:rPr>
                <w:rFonts w:ascii="Times New Roman" w:hAnsi="Times New Roman" w:cs="Times New Roman"/>
                <w:b/>
                <w:bCs/>
                <w:sz w:val="24"/>
                <w:szCs w:val="24"/>
                <w:lang w:val="es-VE"/>
              </w:rPr>
              <w:t>Figur</w:t>
            </w:r>
            <w:r w:rsidR="00083862" w:rsidRPr="00083862">
              <w:rPr>
                <w:rFonts w:ascii="Times New Roman" w:hAnsi="Times New Roman" w:cs="Times New Roman"/>
                <w:b/>
                <w:bCs/>
                <w:sz w:val="24"/>
                <w:szCs w:val="24"/>
                <w:lang w:val="es-VE"/>
              </w:rPr>
              <w:t>a</w:t>
            </w:r>
            <w:r w:rsidRPr="00083862">
              <w:rPr>
                <w:rFonts w:ascii="Times New Roman" w:hAnsi="Times New Roman" w:cs="Times New Roman"/>
                <w:b/>
                <w:bCs/>
                <w:sz w:val="24"/>
                <w:szCs w:val="24"/>
                <w:lang w:val="es-VE"/>
              </w:rPr>
              <w:t xml:space="preserve"> 4. </w:t>
            </w:r>
            <w:r w:rsidR="00083862" w:rsidRPr="00083862">
              <w:rPr>
                <w:rFonts w:ascii="Times New Roman" w:hAnsi="Times New Roman" w:cs="Times New Roman"/>
                <w:b/>
                <w:bCs/>
                <w:sz w:val="24"/>
                <w:szCs w:val="24"/>
                <w:lang w:val="es-VE"/>
              </w:rPr>
              <w:t xml:space="preserve">Origen de las Importaciones Agrícolas Venezolanas según </w:t>
            </w:r>
            <w:r w:rsidR="00083862">
              <w:rPr>
                <w:rFonts w:ascii="Times New Roman" w:hAnsi="Times New Roman" w:cs="Times New Roman"/>
                <w:b/>
                <w:bCs/>
                <w:sz w:val="24"/>
                <w:szCs w:val="24"/>
                <w:lang w:val="es-VE"/>
              </w:rPr>
              <w:t>Categoría</w:t>
            </w:r>
            <w:r w:rsidRPr="00083862">
              <w:rPr>
                <w:rFonts w:ascii="Times New Roman" w:hAnsi="Times New Roman" w:cs="Times New Roman"/>
                <w:b/>
                <w:bCs/>
                <w:sz w:val="24"/>
                <w:szCs w:val="24"/>
                <w:lang w:val="es-VE"/>
              </w:rPr>
              <w:t xml:space="preserve"> </w:t>
            </w:r>
            <w:r w:rsidR="00083862">
              <w:rPr>
                <w:rFonts w:ascii="Times New Roman" w:hAnsi="Times New Roman" w:cs="Times New Roman"/>
                <w:b/>
                <w:bCs/>
                <w:sz w:val="24"/>
                <w:szCs w:val="24"/>
                <w:lang w:val="es-VE"/>
              </w:rPr>
              <w:t>e</w:t>
            </w:r>
            <w:r w:rsidRPr="00083862">
              <w:rPr>
                <w:rFonts w:ascii="Times New Roman" w:hAnsi="Times New Roman" w:cs="Times New Roman"/>
                <w:b/>
                <w:bCs/>
                <w:sz w:val="24"/>
                <w:szCs w:val="24"/>
                <w:lang w:val="es-VE"/>
              </w:rPr>
              <w:t>n 2021 (</w:t>
            </w:r>
            <w:r w:rsidR="00083862" w:rsidRPr="00800F6F">
              <w:rPr>
                <w:rFonts w:ascii="Times New Roman" w:hAnsi="Times New Roman" w:cs="Times New Roman"/>
                <w:b/>
                <w:bCs/>
                <w:sz w:val="24"/>
                <w:szCs w:val="24"/>
                <w:lang w:val="es-VE"/>
              </w:rPr>
              <w:t>Millones de USD</w:t>
            </w:r>
            <w:r w:rsidRPr="00083862">
              <w:rPr>
                <w:rFonts w:ascii="Times New Roman" w:hAnsi="Times New Roman" w:cs="Times New Roman"/>
                <w:b/>
                <w:bCs/>
                <w:sz w:val="24"/>
                <w:szCs w:val="24"/>
                <w:lang w:val="es-VE"/>
              </w:rPr>
              <w:t xml:space="preserve">) </w:t>
            </w:r>
          </w:p>
          <w:p w14:paraId="7C65DCA5" w14:textId="77777777" w:rsidR="002F735F" w:rsidRPr="00083862" w:rsidRDefault="002F735F" w:rsidP="00AB141B">
            <w:pPr>
              <w:rPr>
                <w:rFonts w:ascii="Times New Roman" w:hAnsi="Times New Roman" w:cs="Times New Roman"/>
                <w:b/>
                <w:bCs/>
                <w:sz w:val="24"/>
                <w:szCs w:val="24"/>
                <w:lang w:val="es-VE"/>
              </w:rPr>
            </w:pPr>
          </w:p>
        </w:tc>
        <w:tc>
          <w:tcPr>
            <w:tcW w:w="4797" w:type="dxa"/>
          </w:tcPr>
          <w:p w14:paraId="6ACEAB16" w14:textId="22D40E64" w:rsidR="002F735F" w:rsidRPr="00083862" w:rsidRDefault="002F735F" w:rsidP="00AB141B">
            <w:pPr>
              <w:rPr>
                <w:rFonts w:ascii="Times New Roman" w:hAnsi="Times New Roman" w:cs="Times New Roman"/>
                <w:b/>
                <w:bCs/>
                <w:sz w:val="24"/>
                <w:szCs w:val="24"/>
                <w:lang w:val="es-VE"/>
              </w:rPr>
            </w:pPr>
            <w:r w:rsidRPr="00083862">
              <w:rPr>
                <w:rFonts w:ascii="Times New Roman" w:hAnsi="Times New Roman" w:cs="Times New Roman"/>
                <w:b/>
                <w:bCs/>
                <w:sz w:val="24"/>
                <w:szCs w:val="24"/>
                <w:lang w:val="es-VE"/>
              </w:rPr>
              <w:t>Figur</w:t>
            </w:r>
            <w:r w:rsidR="00083862" w:rsidRPr="00083862">
              <w:rPr>
                <w:rFonts w:ascii="Times New Roman" w:hAnsi="Times New Roman" w:cs="Times New Roman"/>
                <w:b/>
                <w:bCs/>
                <w:sz w:val="24"/>
                <w:szCs w:val="24"/>
                <w:lang w:val="es-VE"/>
              </w:rPr>
              <w:t>a</w:t>
            </w:r>
            <w:r w:rsidRPr="00083862">
              <w:rPr>
                <w:rFonts w:ascii="Times New Roman" w:hAnsi="Times New Roman" w:cs="Times New Roman"/>
                <w:b/>
                <w:bCs/>
                <w:sz w:val="24"/>
                <w:szCs w:val="24"/>
                <w:lang w:val="es-VE"/>
              </w:rPr>
              <w:t xml:space="preserve"> 5. </w:t>
            </w:r>
            <w:r w:rsidR="00083862" w:rsidRPr="00083862">
              <w:rPr>
                <w:rFonts w:ascii="Times New Roman" w:hAnsi="Times New Roman" w:cs="Times New Roman"/>
                <w:b/>
                <w:bCs/>
                <w:sz w:val="24"/>
                <w:szCs w:val="24"/>
                <w:lang w:val="es-VE"/>
              </w:rPr>
              <w:t xml:space="preserve">Los 10 Productos </w:t>
            </w:r>
            <w:proofErr w:type="spellStart"/>
            <w:r w:rsidR="00083862" w:rsidRPr="00083862">
              <w:rPr>
                <w:rFonts w:ascii="Times New Roman" w:hAnsi="Times New Roman" w:cs="Times New Roman"/>
                <w:b/>
                <w:bCs/>
                <w:sz w:val="24"/>
                <w:szCs w:val="24"/>
                <w:lang w:val="es-VE"/>
              </w:rPr>
              <w:t>mas</w:t>
            </w:r>
            <w:proofErr w:type="spellEnd"/>
            <w:r w:rsidR="00083862" w:rsidRPr="00083862">
              <w:rPr>
                <w:rFonts w:ascii="Times New Roman" w:hAnsi="Times New Roman" w:cs="Times New Roman"/>
                <w:b/>
                <w:bCs/>
                <w:sz w:val="24"/>
                <w:szCs w:val="24"/>
                <w:lang w:val="es-VE"/>
              </w:rPr>
              <w:t xml:space="preserve"> Importados</w:t>
            </w:r>
            <w:r w:rsidRPr="00083862">
              <w:rPr>
                <w:rFonts w:ascii="Times New Roman" w:hAnsi="Times New Roman" w:cs="Times New Roman"/>
                <w:b/>
                <w:bCs/>
                <w:sz w:val="24"/>
                <w:szCs w:val="24"/>
                <w:lang w:val="es-VE"/>
              </w:rPr>
              <w:t xml:space="preserve"> </w:t>
            </w:r>
            <w:r w:rsidR="00083862">
              <w:rPr>
                <w:rFonts w:ascii="Times New Roman" w:hAnsi="Times New Roman" w:cs="Times New Roman"/>
                <w:b/>
                <w:bCs/>
                <w:sz w:val="24"/>
                <w:szCs w:val="24"/>
                <w:lang w:val="es-VE"/>
              </w:rPr>
              <w:t>según</w:t>
            </w:r>
            <w:r w:rsidR="00083862" w:rsidRPr="00083862">
              <w:rPr>
                <w:rFonts w:ascii="Times New Roman" w:hAnsi="Times New Roman" w:cs="Times New Roman"/>
                <w:b/>
                <w:bCs/>
                <w:sz w:val="24"/>
                <w:szCs w:val="24"/>
                <w:lang w:val="es-VE"/>
              </w:rPr>
              <w:t xml:space="preserve"> </w:t>
            </w:r>
            <w:r w:rsidR="00083862">
              <w:rPr>
                <w:rFonts w:ascii="Times New Roman" w:hAnsi="Times New Roman" w:cs="Times New Roman"/>
                <w:b/>
                <w:bCs/>
                <w:sz w:val="24"/>
                <w:szCs w:val="24"/>
                <w:lang w:val="es-VE"/>
              </w:rPr>
              <w:t>Origen</w:t>
            </w:r>
            <w:r w:rsidR="00083862" w:rsidRPr="00083862">
              <w:rPr>
                <w:rFonts w:ascii="Times New Roman" w:hAnsi="Times New Roman" w:cs="Times New Roman"/>
                <w:b/>
                <w:bCs/>
                <w:sz w:val="24"/>
                <w:szCs w:val="24"/>
                <w:lang w:val="es-VE"/>
              </w:rPr>
              <w:t xml:space="preserve"> e</w:t>
            </w:r>
            <w:r w:rsidRPr="00083862">
              <w:rPr>
                <w:rFonts w:ascii="Times New Roman" w:hAnsi="Times New Roman" w:cs="Times New Roman"/>
                <w:b/>
                <w:bCs/>
                <w:sz w:val="24"/>
                <w:szCs w:val="24"/>
                <w:lang w:val="es-VE"/>
              </w:rPr>
              <w:t>n 2021 (</w:t>
            </w:r>
            <w:r w:rsidR="00083862" w:rsidRPr="00083862">
              <w:rPr>
                <w:rFonts w:ascii="Times New Roman" w:hAnsi="Times New Roman" w:cs="Times New Roman"/>
                <w:b/>
                <w:bCs/>
                <w:sz w:val="24"/>
                <w:szCs w:val="24"/>
                <w:lang w:val="es-VE"/>
              </w:rPr>
              <w:t>Millones de USD</w:t>
            </w:r>
            <w:r w:rsidRPr="00083862">
              <w:rPr>
                <w:rFonts w:ascii="Times New Roman" w:hAnsi="Times New Roman" w:cs="Times New Roman"/>
                <w:b/>
                <w:bCs/>
                <w:sz w:val="24"/>
                <w:szCs w:val="24"/>
                <w:lang w:val="es-VE"/>
              </w:rPr>
              <w:t>)</w:t>
            </w:r>
          </w:p>
        </w:tc>
      </w:tr>
      <w:tr w:rsidR="00083862" w14:paraId="6E0D1659" w14:textId="77777777" w:rsidTr="00083862">
        <w:trPr>
          <w:trHeight w:val="2330"/>
        </w:trPr>
        <w:tc>
          <w:tcPr>
            <w:tcW w:w="4563" w:type="dxa"/>
            <w:vAlign w:val="center"/>
          </w:tcPr>
          <w:p w14:paraId="5F837DA7" w14:textId="2268E3C8" w:rsidR="002F735F" w:rsidRDefault="00083862" w:rsidP="00AB141B">
            <w:pPr>
              <w:jc w:val="center"/>
              <w:rPr>
                <w:rFonts w:ascii="Times New Roman" w:hAnsi="Times New Roman" w:cs="Times New Roman"/>
                <w:b/>
                <w:bCs/>
                <w:sz w:val="24"/>
                <w:szCs w:val="24"/>
              </w:rPr>
            </w:pPr>
            <w:r>
              <w:rPr>
                <w:noProof/>
              </w:rPr>
              <w:drawing>
                <wp:inline distT="0" distB="0" distL="0" distR="0" wp14:anchorId="2CBEFECF" wp14:editId="51F388C7">
                  <wp:extent cx="2697271" cy="230593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5607" cy="2364358"/>
                          </a:xfrm>
                          <a:prstGeom prst="rect">
                            <a:avLst/>
                          </a:prstGeom>
                          <a:noFill/>
                          <a:ln>
                            <a:noFill/>
                          </a:ln>
                        </pic:spPr>
                      </pic:pic>
                    </a:graphicData>
                  </a:graphic>
                </wp:inline>
              </w:drawing>
            </w:r>
          </w:p>
        </w:tc>
        <w:tc>
          <w:tcPr>
            <w:tcW w:w="4797" w:type="dxa"/>
            <w:vAlign w:val="center"/>
          </w:tcPr>
          <w:p w14:paraId="52785977" w14:textId="0377E793" w:rsidR="002F735F" w:rsidRDefault="00083862" w:rsidP="00AB141B">
            <w:pPr>
              <w:jc w:val="center"/>
              <w:rPr>
                <w:rFonts w:ascii="Times New Roman" w:hAnsi="Times New Roman" w:cs="Times New Roman"/>
                <w:b/>
                <w:bCs/>
                <w:sz w:val="24"/>
                <w:szCs w:val="24"/>
              </w:rPr>
            </w:pPr>
            <w:r>
              <w:rPr>
                <w:noProof/>
              </w:rPr>
              <w:drawing>
                <wp:inline distT="0" distB="0" distL="0" distR="0" wp14:anchorId="7C8C6A77" wp14:editId="2185C8A3">
                  <wp:extent cx="2847584" cy="243231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3864" cy="2548718"/>
                          </a:xfrm>
                          <a:prstGeom prst="rect">
                            <a:avLst/>
                          </a:prstGeom>
                          <a:noFill/>
                          <a:ln>
                            <a:noFill/>
                          </a:ln>
                        </pic:spPr>
                      </pic:pic>
                    </a:graphicData>
                  </a:graphic>
                </wp:inline>
              </w:drawing>
            </w:r>
          </w:p>
        </w:tc>
      </w:tr>
      <w:tr w:rsidR="00083862" w14:paraId="2CB25752" w14:textId="77777777" w:rsidTr="00083862">
        <w:tc>
          <w:tcPr>
            <w:tcW w:w="4563" w:type="dxa"/>
            <w:vAlign w:val="center"/>
          </w:tcPr>
          <w:p w14:paraId="071F58A9" w14:textId="77777777" w:rsidR="002F735F" w:rsidRDefault="002F735F" w:rsidP="00AB141B">
            <w:pPr>
              <w:rPr>
                <w:rFonts w:ascii="Times New Roman" w:hAnsi="Times New Roman" w:cs="Times New Roman"/>
                <w:sz w:val="16"/>
                <w:szCs w:val="16"/>
              </w:rPr>
            </w:pPr>
          </w:p>
          <w:p w14:paraId="5898F67A" w14:textId="66D0756F" w:rsidR="002F735F" w:rsidRPr="0041190F" w:rsidRDefault="00083862" w:rsidP="00AB141B">
            <w:pPr>
              <w:rPr>
                <w:rFonts w:ascii="Times New Roman" w:hAnsi="Times New Roman" w:cs="Times New Roman"/>
                <w:b/>
                <w:bCs/>
                <w:i/>
                <w:iCs/>
                <w:sz w:val="24"/>
                <w:szCs w:val="24"/>
              </w:rPr>
            </w:pPr>
            <w:r>
              <w:rPr>
                <w:rFonts w:ascii="Times New Roman" w:hAnsi="Times New Roman" w:cs="Times New Roman"/>
                <w:i/>
                <w:iCs/>
                <w:sz w:val="16"/>
                <w:szCs w:val="16"/>
              </w:rPr>
              <w:t>Fuente</w:t>
            </w:r>
            <w:r w:rsidR="002F735F" w:rsidRPr="0041190F">
              <w:rPr>
                <w:rFonts w:ascii="Times New Roman" w:hAnsi="Times New Roman" w:cs="Times New Roman"/>
                <w:i/>
                <w:iCs/>
                <w:sz w:val="16"/>
                <w:szCs w:val="16"/>
              </w:rPr>
              <w:t>: Trade Data Monitor</w:t>
            </w:r>
          </w:p>
        </w:tc>
        <w:tc>
          <w:tcPr>
            <w:tcW w:w="4797" w:type="dxa"/>
            <w:vAlign w:val="center"/>
          </w:tcPr>
          <w:p w14:paraId="7F34912A" w14:textId="77777777" w:rsidR="002F735F" w:rsidRDefault="002F735F" w:rsidP="00AB141B">
            <w:pPr>
              <w:rPr>
                <w:rFonts w:ascii="Times New Roman" w:hAnsi="Times New Roman" w:cs="Times New Roman"/>
                <w:sz w:val="16"/>
                <w:szCs w:val="16"/>
              </w:rPr>
            </w:pPr>
          </w:p>
          <w:p w14:paraId="1EB1F936" w14:textId="353B6FDE" w:rsidR="002F735F" w:rsidRPr="0041190F" w:rsidRDefault="00083862" w:rsidP="00AB141B">
            <w:pPr>
              <w:rPr>
                <w:rFonts w:ascii="Times New Roman" w:hAnsi="Times New Roman" w:cs="Times New Roman"/>
                <w:b/>
                <w:bCs/>
                <w:i/>
                <w:iCs/>
                <w:sz w:val="24"/>
                <w:szCs w:val="24"/>
              </w:rPr>
            </w:pPr>
            <w:r>
              <w:rPr>
                <w:rFonts w:ascii="Times New Roman" w:hAnsi="Times New Roman" w:cs="Times New Roman"/>
                <w:i/>
                <w:iCs/>
                <w:sz w:val="16"/>
                <w:szCs w:val="16"/>
              </w:rPr>
              <w:t>Fuente</w:t>
            </w:r>
            <w:r w:rsidR="002F735F" w:rsidRPr="0041190F">
              <w:rPr>
                <w:rFonts w:ascii="Times New Roman" w:hAnsi="Times New Roman" w:cs="Times New Roman"/>
                <w:i/>
                <w:iCs/>
                <w:sz w:val="16"/>
                <w:szCs w:val="16"/>
              </w:rPr>
              <w:t>: Trade Data Monitor</w:t>
            </w:r>
          </w:p>
        </w:tc>
      </w:tr>
      <w:bookmarkEnd w:id="2"/>
    </w:tbl>
    <w:p w14:paraId="50CCC24D" w14:textId="77777777" w:rsidR="002F735F" w:rsidRDefault="002F735F" w:rsidP="002F735F">
      <w:pPr>
        <w:spacing w:after="0" w:line="240" w:lineRule="auto"/>
        <w:jc w:val="both"/>
        <w:rPr>
          <w:rFonts w:ascii="Times New Roman" w:hAnsi="Times New Roman" w:cs="Times New Roman"/>
          <w:b/>
          <w:bCs/>
          <w:sz w:val="24"/>
          <w:szCs w:val="24"/>
          <w:u w:val="single"/>
        </w:rPr>
      </w:pPr>
    </w:p>
    <w:p w14:paraId="0EAE9CDF" w14:textId="77777777" w:rsidR="003533CF" w:rsidRDefault="003533CF" w:rsidP="002F735F">
      <w:pPr>
        <w:spacing w:after="0" w:line="240" w:lineRule="auto"/>
        <w:jc w:val="both"/>
        <w:rPr>
          <w:rFonts w:ascii="Times New Roman" w:hAnsi="Times New Roman" w:cs="Times New Roman"/>
          <w:b/>
          <w:bCs/>
          <w:sz w:val="24"/>
          <w:szCs w:val="24"/>
        </w:rPr>
      </w:pPr>
    </w:p>
    <w:p w14:paraId="1E622DB7" w14:textId="2844C443" w:rsidR="00491FB6" w:rsidRPr="00464BD7" w:rsidRDefault="00464BD7" w:rsidP="00464BD7">
      <w:pPr>
        <w:spacing w:after="0" w:line="240" w:lineRule="auto"/>
        <w:jc w:val="both"/>
        <w:rPr>
          <w:rFonts w:ascii="Times New Roman" w:hAnsi="Times New Roman" w:cs="Times New Roman"/>
          <w:sz w:val="24"/>
          <w:szCs w:val="24"/>
          <w:lang w:val="es-VE"/>
        </w:rPr>
      </w:pPr>
      <w:r w:rsidRPr="00464BD7">
        <w:rPr>
          <w:rFonts w:ascii="Times New Roman" w:hAnsi="Times New Roman" w:cs="Times New Roman"/>
          <w:b/>
          <w:bCs/>
          <w:sz w:val="24"/>
          <w:szCs w:val="24"/>
          <w:lang w:val="es-VE"/>
        </w:rPr>
        <w:t>Las Importaciones Agrícolas Venezolanas desde los Estado</w:t>
      </w:r>
      <w:r>
        <w:rPr>
          <w:rFonts w:ascii="Times New Roman" w:hAnsi="Times New Roman" w:cs="Times New Roman"/>
          <w:b/>
          <w:bCs/>
          <w:sz w:val="24"/>
          <w:szCs w:val="24"/>
          <w:lang w:val="es-VE"/>
        </w:rPr>
        <w:t>s Unidos</w:t>
      </w:r>
      <w:r w:rsidRPr="00464BD7">
        <w:rPr>
          <w:rFonts w:ascii="Times New Roman" w:hAnsi="Times New Roman" w:cs="Times New Roman"/>
          <w:b/>
          <w:bCs/>
          <w:sz w:val="24"/>
          <w:szCs w:val="24"/>
          <w:lang w:val="es-VE"/>
        </w:rPr>
        <w:t xml:space="preserve"> en 2021.</w:t>
      </w:r>
      <w:r w:rsidR="002F735F" w:rsidRPr="00464BD7">
        <w:rPr>
          <w:rFonts w:ascii="Times New Roman" w:hAnsi="Times New Roman" w:cs="Times New Roman"/>
          <w:b/>
          <w:bCs/>
          <w:sz w:val="24"/>
          <w:szCs w:val="24"/>
          <w:lang w:val="es-VE"/>
        </w:rPr>
        <w:t xml:space="preserve"> </w:t>
      </w:r>
    </w:p>
    <w:p w14:paraId="57149C05" w14:textId="72200779" w:rsidR="00491FB6" w:rsidRDefault="00491FB6" w:rsidP="00B11A37">
      <w:pPr>
        <w:rPr>
          <w:rFonts w:ascii="Times New Roman" w:hAnsi="Times New Roman" w:cs="Times New Roman"/>
          <w:sz w:val="24"/>
          <w:szCs w:val="24"/>
          <w:lang w:val="es-VE"/>
        </w:rPr>
      </w:pPr>
    </w:p>
    <w:p w14:paraId="51CBA6A4" w14:textId="1698FF3E" w:rsidR="00C85E9D" w:rsidRPr="00464BD7" w:rsidRDefault="00C85E9D" w:rsidP="00B11A37">
      <w:pPr>
        <w:rPr>
          <w:rFonts w:ascii="Times New Roman" w:hAnsi="Times New Roman" w:cs="Times New Roman"/>
          <w:sz w:val="24"/>
          <w:szCs w:val="24"/>
          <w:lang w:val="es-VE"/>
        </w:rPr>
      </w:pPr>
      <w:r w:rsidRPr="00C85E9D">
        <w:rPr>
          <w:rFonts w:ascii="Times New Roman" w:hAnsi="Times New Roman" w:cs="Times New Roman"/>
          <w:sz w:val="24"/>
          <w:szCs w:val="24"/>
          <w:lang w:val="es-VE"/>
        </w:rPr>
        <w:t>Estados Unidos siempre ha sido uno de los proveedores más importantes de productos agrícolas a Venezuela, alcanzando 1.700 millones de dólares en 2012. En 2019, las exportaciones agrícolas estadounidenses alcanzaron su punto más bajo en décadas, pero se han recuperado significativamente a pesar de la situación económica.</w:t>
      </w:r>
    </w:p>
    <w:p w14:paraId="6ED947AF" w14:textId="22625291" w:rsidR="00491FB6" w:rsidRPr="00464BD7" w:rsidRDefault="00C85E9D" w:rsidP="00B11A37">
      <w:pPr>
        <w:rPr>
          <w:rFonts w:ascii="Times New Roman" w:hAnsi="Times New Roman" w:cs="Times New Roman"/>
          <w:sz w:val="24"/>
          <w:szCs w:val="24"/>
          <w:lang w:val="es-VE"/>
        </w:rPr>
      </w:pPr>
      <w:r w:rsidRPr="00C85E9D">
        <w:rPr>
          <w:rFonts w:ascii="Times New Roman" w:hAnsi="Times New Roman" w:cs="Times New Roman"/>
          <w:sz w:val="24"/>
          <w:szCs w:val="24"/>
          <w:lang w:val="es-VE"/>
        </w:rPr>
        <w:t xml:space="preserve">En 2021, las importaciones agrícolas procedentes de Estados Unidos ascendieron a 634 millones de dólares, un 44,8% más que en 2020. En términos de volumen, las importaciones crecieron un 7 por ciento, pasando de 1.323.611 toneladas en 2020 a 1.416.177 toneladas en 2021. </w:t>
      </w:r>
      <w:r>
        <w:rPr>
          <w:rFonts w:ascii="Times New Roman" w:hAnsi="Times New Roman" w:cs="Times New Roman"/>
          <w:sz w:val="24"/>
          <w:szCs w:val="24"/>
          <w:lang w:val="es-VE"/>
        </w:rPr>
        <w:t xml:space="preserve">El incremento de las importaciones de productos a granel </w:t>
      </w:r>
      <w:r w:rsidRPr="00C85E9D">
        <w:rPr>
          <w:rFonts w:ascii="Times New Roman" w:hAnsi="Times New Roman" w:cs="Times New Roman"/>
          <w:sz w:val="24"/>
          <w:szCs w:val="24"/>
          <w:lang w:val="es-VE"/>
        </w:rPr>
        <w:t xml:space="preserve">(46,8 por ciento) </w:t>
      </w:r>
      <w:r>
        <w:rPr>
          <w:rFonts w:ascii="Times New Roman" w:hAnsi="Times New Roman" w:cs="Times New Roman"/>
          <w:sz w:val="24"/>
          <w:szCs w:val="24"/>
          <w:lang w:val="es-VE"/>
        </w:rPr>
        <w:t>y de productos intermedios</w:t>
      </w:r>
      <w:r w:rsidRPr="00C85E9D">
        <w:rPr>
          <w:rFonts w:ascii="Times New Roman" w:hAnsi="Times New Roman" w:cs="Times New Roman"/>
          <w:sz w:val="24"/>
          <w:szCs w:val="24"/>
          <w:lang w:val="es-VE"/>
        </w:rPr>
        <w:t xml:space="preserve"> (39,7 por ciento</w:t>
      </w:r>
      <w:r>
        <w:rPr>
          <w:rFonts w:ascii="Times New Roman" w:hAnsi="Times New Roman" w:cs="Times New Roman"/>
          <w:sz w:val="24"/>
          <w:szCs w:val="24"/>
          <w:lang w:val="es-VE"/>
        </w:rPr>
        <w:t>)</w:t>
      </w:r>
      <w:r w:rsidRPr="00C85E9D">
        <w:rPr>
          <w:rFonts w:ascii="Times New Roman" w:hAnsi="Times New Roman" w:cs="Times New Roman"/>
          <w:sz w:val="24"/>
          <w:szCs w:val="24"/>
          <w:lang w:val="es-VE"/>
        </w:rPr>
        <w:t xml:space="preserve"> impulsaron este crecimiento.</w:t>
      </w:r>
    </w:p>
    <w:p w14:paraId="32074487" w14:textId="0AECC98F" w:rsidR="00491FB6" w:rsidRPr="00464BD7" w:rsidRDefault="0047314E" w:rsidP="00B11A37">
      <w:pPr>
        <w:rPr>
          <w:rFonts w:ascii="Times New Roman" w:hAnsi="Times New Roman" w:cs="Times New Roman"/>
          <w:sz w:val="24"/>
          <w:szCs w:val="24"/>
          <w:lang w:val="es-VE"/>
        </w:rPr>
      </w:pPr>
      <w:r w:rsidRPr="0047314E">
        <w:rPr>
          <w:rFonts w:ascii="Times New Roman" w:hAnsi="Times New Roman" w:cs="Times New Roman"/>
          <w:sz w:val="24"/>
          <w:szCs w:val="24"/>
          <w:lang w:val="es-VE"/>
        </w:rPr>
        <w:t xml:space="preserve">Como se observa en el Gráfico 2, las importaciones </w:t>
      </w:r>
      <w:r>
        <w:rPr>
          <w:rFonts w:ascii="Times New Roman" w:hAnsi="Times New Roman" w:cs="Times New Roman"/>
          <w:sz w:val="24"/>
          <w:szCs w:val="24"/>
          <w:lang w:val="es-VE"/>
        </w:rPr>
        <w:t>desde los Estados Unidos,</w:t>
      </w:r>
      <w:r w:rsidRPr="0047314E">
        <w:rPr>
          <w:rFonts w:ascii="Times New Roman" w:hAnsi="Times New Roman" w:cs="Times New Roman"/>
          <w:sz w:val="24"/>
          <w:szCs w:val="24"/>
          <w:lang w:val="es-VE"/>
        </w:rPr>
        <w:t xml:space="preserve"> por categoría de producto fueron 49,7 por ciento de productos a granel, 34,6 por ciento de productos intermedios y 15,2 por ciento de productos de consumo</w:t>
      </w:r>
      <w:r>
        <w:rPr>
          <w:rFonts w:ascii="Times New Roman" w:hAnsi="Times New Roman" w:cs="Times New Roman"/>
          <w:sz w:val="24"/>
          <w:szCs w:val="24"/>
          <w:lang w:val="es-VE"/>
        </w:rPr>
        <w:t xml:space="preserve"> final</w:t>
      </w:r>
      <w:r w:rsidRPr="0047314E">
        <w:rPr>
          <w:rFonts w:ascii="Times New Roman" w:hAnsi="Times New Roman" w:cs="Times New Roman"/>
          <w:sz w:val="24"/>
          <w:szCs w:val="24"/>
          <w:lang w:val="es-VE"/>
        </w:rPr>
        <w:t xml:space="preserve">. Actualmente, el 84,3 por ciento de las </w:t>
      </w:r>
      <w:r>
        <w:rPr>
          <w:rFonts w:ascii="Times New Roman" w:hAnsi="Times New Roman" w:cs="Times New Roman"/>
          <w:sz w:val="24"/>
          <w:szCs w:val="24"/>
          <w:lang w:val="es-VE"/>
        </w:rPr>
        <w:t xml:space="preserve">exportaciones agrícolas estadounidenses a </w:t>
      </w:r>
      <w:r w:rsidRPr="0047314E">
        <w:rPr>
          <w:rFonts w:ascii="Times New Roman" w:hAnsi="Times New Roman" w:cs="Times New Roman"/>
          <w:sz w:val="24"/>
          <w:szCs w:val="24"/>
          <w:lang w:val="es-VE"/>
        </w:rPr>
        <w:t xml:space="preserve">Venezuela son productos a granel e intermedios, que apoyan los procesos de valor agregado del sector productivo </w:t>
      </w:r>
      <w:r>
        <w:rPr>
          <w:rFonts w:ascii="Times New Roman" w:hAnsi="Times New Roman" w:cs="Times New Roman"/>
          <w:sz w:val="24"/>
          <w:szCs w:val="24"/>
          <w:lang w:val="es-VE"/>
        </w:rPr>
        <w:t>local</w:t>
      </w:r>
      <w:r w:rsidRPr="0047314E">
        <w:rPr>
          <w:rFonts w:ascii="Times New Roman" w:hAnsi="Times New Roman" w:cs="Times New Roman"/>
          <w:sz w:val="24"/>
          <w:szCs w:val="24"/>
          <w:lang w:val="es-VE"/>
        </w:rPr>
        <w:t xml:space="preserve"> de alimentos.</w:t>
      </w:r>
    </w:p>
    <w:p w14:paraId="40C86FA0" w14:textId="705E06CF" w:rsidR="00491FB6" w:rsidRPr="00464BD7" w:rsidRDefault="0034551B" w:rsidP="00B11A37">
      <w:pPr>
        <w:rPr>
          <w:rFonts w:ascii="Times New Roman" w:hAnsi="Times New Roman" w:cs="Times New Roman"/>
          <w:sz w:val="24"/>
          <w:szCs w:val="24"/>
          <w:lang w:val="es-VE"/>
        </w:rPr>
      </w:pPr>
      <w:r w:rsidRPr="0034551B">
        <w:rPr>
          <w:rFonts w:ascii="Times New Roman" w:hAnsi="Times New Roman" w:cs="Times New Roman"/>
          <w:sz w:val="24"/>
          <w:szCs w:val="24"/>
          <w:lang w:val="es-VE"/>
        </w:rPr>
        <w:t xml:space="preserve">En 2021, Estados Unidos fue el segundo proveedor de productos agrícolas y alimentarios a Venezuela en términos de valor, con una cuota de mercado del 25,7%, y el mayor proveedor en términos de volumen, con una cuota de mercado del 35,3%. Actualmente, los productos con </w:t>
      </w:r>
      <w:r w:rsidRPr="0034551B">
        <w:rPr>
          <w:rFonts w:ascii="Times New Roman" w:hAnsi="Times New Roman" w:cs="Times New Roman"/>
          <w:sz w:val="24"/>
          <w:szCs w:val="24"/>
          <w:lang w:val="es-VE"/>
        </w:rPr>
        <w:lastRenderedPageBreak/>
        <w:t>mayor potencial de crecimiento para los exportadores estadounidenses son los productos de consumo</w:t>
      </w:r>
      <w:r>
        <w:rPr>
          <w:rFonts w:ascii="Times New Roman" w:hAnsi="Times New Roman" w:cs="Times New Roman"/>
          <w:sz w:val="24"/>
          <w:szCs w:val="24"/>
          <w:lang w:val="es-VE"/>
        </w:rPr>
        <w:t xml:space="preserve"> final</w:t>
      </w:r>
      <w:r w:rsidRPr="0034551B">
        <w:rPr>
          <w:rFonts w:ascii="Times New Roman" w:hAnsi="Times New Roman" w:cs="Times New Roman"/>
          <w:sz w:val="24"/>
          <w:szCs w:val="24"/>
          <w:lang w:val="es-VE"/>
        </w:rPr>
        <w:t>, el maíz, el arroz, el trigo, la harina de so</w:t>
      </w:r>
      <w:r w:rsidR="001F76D2">
        <w:rPr>
          <w:rFonts w:ascii="Times New Roman" w:hAnsi="Times New Roman" w:cs="Times New Roman"/>
          <w:sz w:val="24"/>
          <w:szCs w:val="24"/>
          <w:lang w:val="es-VE"/>
        </w:rPr>
        <w:t>y</w:t>
      </w:r>
      <w:r w:rsidRPr="0034551B">
        <w:rPr>
          <w:rFonts w:ascii="Times New Roman" w:hAnsi="Times New Roman" w:cs="Times New Roman"/>
          <w:sz w:val="24"/>
          <w:szCs w:val="24"/>
          <w:lang w:val="es-VE"/>
        </w:rPr>
        <w:t>a, el aceite de so</w:t>
      </w:r>
      <w:r>
        <w:rPr>
          <w:rFonts w:ascii="Times New Roman" w:hAnsi="Times New Roman" w:cs="Times New Roman"/>
          <w:sz w:val="24"/>
          <w:szCs w:val="24"/>
          <w:lang w:val="es-VE"/>
        </w:rPr>
        <w:t>y</w:t>
      </w:r>
      <w:r w:rsidRPr="0034551B">
        <w:rPr>
          <w:rFonts w:ascii="Times New Roman" w:hAnsi="Times New Roman" w:cs="Times New Roman"/>
          <w:sz w:val="24"/>
          <w:szCs w:val="24"/>
          <w:lang w:val="es-VE"/>
        </w:rPr>
        <w:t>a y el azúcar.</w:t>
      </w:r>
    </w:p>
    <w:p w14:paraId="384FF242" w14:textId="3B37BED1" w:rsidR="003A70FB" w:rsidRDefault="0074411A" w:rsidP="003A70FB">
      <w:pPr>
        <w:spacing w:after="0" w:line="240" w:lineRule="auto"/>
        <w:jc w:val="both"/>
        <w:rPr>
          <w:rFonts w:ascii="Times New Roman" w:hAnsi="Times New Roman" w:cs="Times New Roman"/>
          <w:b/>
          <w:bCs/>
          <w:sz w:val="24"/>
          <w:szCs w:val="24"/>
          <w:lang w:val="es-VE"/>
        </w:rPr>
      </w:pPr>
      <w:r w:rsidRPr="003A70FB">
        <w:rPr>
          <w:rFonts w:ascii="Times New Roman" w:hAnsi="Times New Roman" w:cs="Times New Roman"/>
          <w:b/>
          <w:bCs/>
          <w:color w:val="000000" w:themeColor="text1"/>
          <w:sz w:val="24"/>
          <w:szCs w:val="24"/>
          <w:lang w:val="es-VE"/>
        </w:rPr>
        <w:t>Figur</w:t>
      </w:r>
      <w:r w:rsidR="003A70FB" w:rsidRPr="003A70FB">
        <w:rPr>
          <w:rFonts w:ascii="Times New Roman" w:hAnsi="Times New Roman" w:cs="Times New Roman"/>
          <w:b/>
          <w:bCs/>
          <w:color w:val="000000" w:themeColor="text1"/>
          <w:sz w:val="24"/>
          <w:szCs w:val="24"/>
          <w:lang w:val="es-VE"/>
        </w:rPr>
        <w:t>a</w:t>
      </w:r>
      <w:r w:rsidRPr="003A70FB">
        <w:rPr>
          <w:rFonts w:ascii="Times New Roman" w:hAnsi="Times New Roman" w:cs="Times New Roman"/>
          <w:b/>
          <w:bCs/>
          <w:color w:val="000000" w:themeColor="text1"/>
          <w:sz w:val="24"/>
          <w:szCs w:val="24"/>
          <w:lang w:val="es-VE"/>
        </w:rPr>
        <w:t xml:space="preserve"> 6. </w:t>
      </w:r>
      <w:r w:rsidR="003A70FB" w:rsidRPr="003A70FB">
        <w:rPr>
          <w:rFonts w:ascii="Times New Roman" w:hAnsi="Times New Roman" w:cs="Times New Roman"/>
          <w:b/>
          <w:bCs/>
          <w:color w:val="000000" w:themeColor="text1"/>
          <w:sz w:val="24"/>
          <w:szCs w:val="24"/>
          <w:lang w:val="es-VE"/>
        </w:rPr>
        <w:t xml:space="preserve">Importaciones Agrícolas Venezolanas desde los Estados Unidos </w:t>
      </w:r>
      <w:r w:rsidRPr="003A70FB">
        <w:rPr>
          <w:rFonts w:ascii="Times New Roman" w:hAnsi="Times New Roman" w:cs="Times New Roman"/>
          <w:b/>
          <w:bCs/>
          <w:color w:val="000000" w:themeColor="text1"/>
          <w:sz w:val="24"/>
          <w:szCs w:val="24"/>
          <w:lang w:val="es-VE"/>
        </w:rPr>
        <w:t xml:space="preserve">2016 – 2021 </w:t>
      </w:r>
      <w:r w:rsidR="003A70FB" w:rsidRPr="00800F6F">
        <w:rPr>
          <w:rFonts w:ascii="Times New Roman" w:hAnsi="Times New Roman" w:cs="Times New Roman"/>
          <w:b/>
          <w:bCs/>
          <w:sz w:val="24"/>
          <w:szCs w:val="24"/>
          <w:lang w:val="es-VE"/>
        </w:rPr>
        <w:t xml:space="preserve">(Millones de USD) </w:t>
      </w:r>
    </w:p>
    <w:p w14:paraId="1BE35A80" w14:textId="35EE26A2" w:rsidR="003A70FB" w:rsidRDefault="003A70FB" w:rsidP="003A70FB">
      <w:pPr>
        <w:spacing w:after="0" w:line="240" w:lineRule="auto"/>
        <w:jc w:val="both"/>
        <w:rPr>
          <w:rFonts w:ascii="Times New Roman" w:hAnsi="Times New Roman" w:cs="Times New Roman"/>
          <w:b/>
          <w:bCs/>
          <w:sz w:val="24"/>
          <w:szCs w:val="24"/>
          <w:lang w:val="es-VE"/>
        </w:rPr>
      </w:pPr>
      <w:r w:rsidRPr="00885C35">
        <w:rPr>
          <w:rFonts w:ascii="Times New Roman" w:hAnsi="Times New Roman" w:cs="Times New Roman"/>
          <w:noProof/>
          <w:sz w:val="24"/>
          <w:szCs w:val="24"/>
        </w:rPr>
        <w:drawing>
          <wp:inline distT="0" distB="0" distL="0" distR="0" wp14:anchorId="0C4CED32" wp14:editId="6E5C5AEE">
            <wp:extent cx="5805170" cy="2866390"/>
            <wp:effectExtent l="0" t="0" r="508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0" w:type="auto"/>
        <w:tblLook w:val="04A0" w:firstRow="1" w:lastRow="0" w:firstColumn="1" w:lastColumn="0" w:noHBand="0" w:noVBand="1"/>
      </w:tblPr>
      <w:tblGrid>
        <w:gridCol w:w="1509"/>
        <w:gridCol w:w="982"/>
        <w:gridCol w:w="983"/>
        <w:gridCol w:w="972"/>
        <w:gridCol w:w="281"/>
        <w:gridCol w:w="1696"/>
        <w:gridCol w:w="976"/>
        <w:gridCol w:w="976"/>
        <w:gridCol w:w="985"/>
      </w:tblGrid>
      <w:tr w:rsidR="00E36C58" w14:paraId="3AA0FC01" w14:textId="77777777" w:rsidTr="00890F9B">
        <w:tc>
          <w:tcPr>
            <w:tcW w:w="4446" w:type="dxa"/>
            <w:gridSpan w:val="4"/>
            <w:tcBorders>
              <w:top w:val="nil"/>
              <w:left w:val="nil"/>
              <w:bottom w:val="nil"/>
              <w:right w:val="nil"/>
            </w:tcBorders>
          </w:tcPr>
          <w:p w14:paraId="24113F97" w14:textId="7995AFB2" w:rsidR="00E36C58" w:rsidRPr="00E36C58" w:rsidRDefault="00E36C58" w:rsidP="00AB141B">
            <w:pPr>
              <w:rPr>
                <w:rFonts w:ascii="Times New Roman" w:hAnsi="Times New Roman" w:cs="Times New Roman"/>
                <w:b/>
                <w:bCs/>
                <w:sz w:val="24"/>
                <w:szCs w:val="24"/>
                <w:lang w:val="es-VE"/>
              </w:rPr>
            </w:pPr>
            <w:r w:rsidRPr="00E36C58">
              <w:rPr>
                <w:rFonts w:ascii="Times New Roman" w:hAnsi="Times New Roman" w:cs="Times New Roman"/>
                <w:b/>
                <w:bCs/>
                <w:sz w:val="24"/>
                <w:szCs w:val="24"/>
                <w:lang w:val="es-VE"/>
              </w:rPr>
              <w:t>Tabla 4. Importaciones Agrícolas Venezolanas desde los Estados Unidos 2020 vs. 2021 (Millones de USD)</w:t>
            </w:r>
          </w:p>
        </w:tc>
        <w:tc>
          <w:tcPr>
            <w:tcW w:w="281" w:type="dxa"/>
            <w:tcBorders>
              <w:top w:val="nil"/>
              <w:left w:val="nil"/>
              <w:bottom w:val="nil"/>
              <w:right w:val="nil"/>
            </w:tcBorders>
          </w:tcPr>
          <w:p w14:paraId="44C15AB3" w14:textId="77777777" w:rsidR="00E36C58" w:rsidRPr="00E36C58" w:rsidRDefault="00E36C58" w:rsidP="00AB141B">
            <w:pPr>
              <w:rPr>
                <w:rFonts w:ascii="Times New Roman" w:hAnsi="Times New Roman" w:cs="Times New Roman"/>
                <w:sz w:val="24"/>
                <w:szCs w:val="24"/>
                <w:lang w:val="es-VE"/>
              </w:rPr>
            </w:pPr>
          </w:p>
        </w:tc>
        <w:tc>
          <w:tcPr>
            <w:tcW w:w="4633" w:type="dxa"/>
            <w:gridSpan w:val="4"/>
            <w:tcBorders>
              <w:top w:val="nil"/>
              <w:left w:val="nil"/>
              <w:bottom w:val="nil"/>
              <w:right w:val="nil"/>
            </w:tcBorders>
            <w:vAlign w:val="center"/>
          </w:tcPr>
          <w:p w14:paraId="48C14C82" w14:textId="77777777" w:rsidR="00E36C58" w:rsidRPr="00EB1A4C" w:rsidRDefault="00E36C58" w:rsidP="00AB141B">
            <w:pPr>
              <w:rPr>
                <w:rFonts w:ascii="Times New Roman" w:hAnsi="Times New Roman" w:cs="Times New Roman"/>
                <w:sz w:val="24"/>
                <w:szCs w:val="24"/>
              </w:rPr>
            </w:pPr>
            <w:r w:rsidRPr="00885C35">
              <w:rPr>
                <w:rFonts w:ascii="Times New Roman" w:hAnsi="Times New Roman" w:cs="Times New Roman"/>
                <w:b/>
                <w:bCs/>
                <w:sz w:val="24"/>
                <w:szCs w:val="24"/>
              </w:rPr>
              <w:t xml:space="preserve">Table </w:t>
            </w:r>
            <w:r>
              <w:rPr>
                <w:rFonts w:ascii="Times New Roman" w:hAnsi="Times New Roman" w:cs="Times New Roman"/>
                <w:b/>
                <w:bCs/>
                <w:sz w:val="24"/>
                <w:szCs w:val="24"/>
              </w:rPr>
              <w:t>5</w:t>
            </w:r>
            <w:r w:rsidRPr="00885C35">
              <w:rPr>
                <w:rFonts w:ascii="Times New Roman" w:hAnsi="Times New Roman" w:cs="Times New Roman"/>
                <w:b/>
                <w:bCs/>
                <w:sz w:val="24"/>
                <w:szCs w:val="24"/>
              </w:rPr>
              <w:t xml:space="preserve">. Top Five U.S. Products </w:t>
            </w:r>
            <w:r>
              <w:rPr>
                <w:rFonts w:ascii="Times New Roman" w:hAnsi="Times New Roman" w:cs="Times New Roman"/>
                <w:b/>
                <w:bCs/>
                <w:sz w:val="24"/>
                <w:szCs w:val="24"/>
              </w:rPr>
              <w:t>Imported into</w:t>
            </w:r>
            <w:r w:rsidRPr="00885C35">
              <w:rPr>
                <w:rFonts w:ascii="Times New Roman" w:hAnsi="Times New Roman" w:cs="Times New Roman"/>
                <w:b/>
                <w:bCs/>
                <w:sz w:val="24"/>
                <w:szCs w:val="24"/>
              </w:rPr>
              <w:t xml:space="preserve"> Venezuela in 2021 (USD Million)</w:t>
            </w:r>
          </w:p>
        </w:tc>
      </w:tr>
      <w:tr w:rsidR="00E36C58" w14:paraId="51DA10B5" w14:textId="77777777" w:rsidTr="00890F9B">
        <w:tc>
          <w:tcPr>
            <w:tcW w:w="1509" w:type="dxa"/>
            <w:tcBorders>
              <w:top w:val="nil"/>
              <w:left w:val="nil"/>
              <w:bottom w:val="single" w:sz="4" w:space="0" w:color="A5A5A5" w:themeColor="accent3"/>
              <w:right w:val="nil"/>
            </w:tcBorders>
            <w:shd w:val="clear" w:color="auto" w:fill="A5A5A5"/>
            <w:vAlign w:val="center"/>
          </w:tcPr>
          <w:p w14:paraId="4CF097F7" w14:textId="6B7DD9DF" w:rsidR="00E36C58" w:rsidRPr="00875E6C" w:rsidRDefault="00E36C58" w:rsidP="00AB141B">
            <w:pPr>
              <w:rPr>
                <w:rFonts w:ascii="Times New Roman" w:hAnsi="Times New Roman" w:cs="Times New Roman"/>
                <w:b/>
                <w:bCs/>
                <w:color w:val="FFFFFF" w:themeColor="background1"/>
                <w:sz w:val="24"/>
                <w:szCs w:val="24"/>
              </w:rPr>
            </w:pPr>
            <w:proofErr w:type="spellStart"/>
            <w:r w:rsidRPr="00875E6C">
              <w:rPr>
                <w:rFonts w:ascii="Times New Roman" w:hAnsi="Times New Roman" w:cs="Times New Roman"/>
                <w:b/>
                <w:bCs/>
                <w:color w:val="FFFFFF" w:themeColor="background1"/>
                <w:sz w:val="24"/>
                <w:szCs w:val="24"/>
              </w:rPr>
              <w:t>Categor</w:t>
            </w:r>
            <w:r>
              <w:rPr>
                <w:rFonts w:ascii="Times New Roman" w:hAnsi="Times New Roman" w:cs="Times New Roman"/>
                <w:b/>
                <w:bCs/>
                <w:color w:val="FFFFFF" w:themeColor="background1"/>
                <w:sz w:val="24"/>
                <w:szCs w:val="24"/>
              </w:rPr>
              <w:t>ia</w:t>
            </w:r>
            <w:proofErr w:type="spellEnd"/>
          </w:p>
        </w:tc>
        <w:tc>
          <w:tcPr>
            <w:tcW w:w="982" w:type="dxa"/>
            <w:tcBorders>
              <w:top w:val="nil"/>
              <w:left w:val="nil"/>
              <w:bottom w:val="single" w:sz="4" w:space="0" w:color="A5A5A5" w:themeColor="accent3"/>
              <w:right w:val="nil"/>
            </w:tcBorders>
            <w:shd w:val="clear" w:color="auto" w:fill="A5A5A5"/>
            <w:vAlign w:val="center"/>
          </w:tcPr>
          <w:p w14:paraId="4502C442" w14:textId="77777777" w:rsidR="00E36C58" w:rsidRPr="00875E6C" w:rsidRDefault="00E36C58" w:rsidP="00AB141B">
            <w:pPr>
              <w:jc w:val="right"/>
              <w:rPr>
                <w:rFonts w:ascii="Times New Roman" w:hAnsi="Times New Roman" w:cs="Times New Roman"/>
                <w:b/>
                <w:bCs/>
                <w:color w:val="FFFFFF" w:themeColor="background1"/>
                <w:sz w:val="24"/>
                <w:szCs w:val="24"/>
              </w:rPr>
            </w:pPr>
            <w:r w:rsidRPr="00875E6C">
              <w:rPr>
                <w:rFonts w:ascii="Times New Roman" w:hAnsi="Times New Roman" w:cs="Times New Roman"/>
                <w:b/>
                <w:bCs/>
                <w:color w:val="FFFFFF" w:themeColor="background1"/>
                <w:sz w:val="24"/>
                <w:szCs w:val="24"/>
              </w:rPr>
              <w:t>2020</w:t>
            </w:r>
          </w:p>
        </w:tc>
        <w:tc>
          <w:tcPr>
            <w:tcW w:w="983" w:type="dxa"/>
            <w:tcBorders>
              <w:top w:val="nil"/>
              <w:left w:val="nil"/>
              <w:bottom w:val="single" w:sz="4" w:space="0" w:color="A5A5A5" w:themeColor="accent3"/>
              <w:right w:val="nil"/>
            </w:tcBorders>
            <w:shd w:val="clear" w:color="auto" w:fill="A5A5A5"/>
            <w:vAlign w:val="center"/>
          </w:tcPr>
          <w:p w14:paraId="162FF68A" w14:textId="77777777" w:rsidR="00E36C58" w:rsidRPr="00875E6C" w:rsidRDefault="00E36C58" w:rsidP="00AB141B">
            <w:pPr>
              <w:jc w:val="right"/>
              <w:rPr>
                <w:rFonts w:ascii="Times New Roman" w:hAnsi="Times New Roman" w:cs="Times New Roman"/>
                <w:b/>
                <w:bCs/>
                <w:color w:val="FFFFFF" w:themeColor="background1"/>
                <w:sz w:val="24"/>
                <w:szCs w:val="24"/>
              </w:rPr>
            </w:pPr>
            <w:r w:rsidRPr="00875E6C">
              <w:rPr>
                <w:rFonts w:ascii="Times New Roman" w:hAnsi="Times New Roman" w:cs="Times New Roman"/>
                <w:b/>
                <w:bCs/>
                <w:color w:val="FFFFFF" w:themeColor="background1"/>
                <w:sz w:val="24"/>
                <w:szCs w:val="24"/>
              </w:rPr>
              <w:t>2021</w:t>
            </w:r>
          </w:p>
        </w:tc>
        <w:tc>
          <w:tcPr>
            <w:tcW w:w="972" w:type="dxa"/>
            <w:tcBorders>
              <w:top w:val="nil"/>
              <w:left w:val="nil"/>
              <w:bottom w:val="single" w:sz="4" w:space="0" w:color="A5A5A5" w:themeColor="accent3"/>
              <w:right w:val="nil"/>
            </w:tcBorders>
            <w:shd w:val="clear" w:color="auto" w:fill="A5A5A5"/>
            <w:vAlign w:val="center"/>
          </w:tcPr>
          <w:p w14:paraId="4911C873" w14:textId="0BDB6381" w:rsidR="00E36C58" w:rsidRPr="00875E6C" w:rsidRDefault="00E36C58" w:rsidP="00AB141B">
            <w:pPr>
              <w:jc w:val="right"/>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Var</w:t>
            </w:r>
            <w:r w:rsidRPr="00875E6C">
              <w:rPr>
                <w:rFonts w:ascii="Times New Roman" w:hAnsi="Times New Roman" w:cs="Times New Roman"/>
                <w:b/>
                <w:bCs/>
                <w:color w:val="FFFFFF" w:themeColor="background1"/>
                <w:sz w:val="24"/>
                <w:szCs w:val="24"/>
              </w:rPr>
              <w:t xml:space="preserve"> %</w:t>
            </w:r>
          </w:p>
        </w:tc>
        <w:tc>
          <w:tcPr>
            <w:tcW w:w="281" w:type="dxa"/>
            <w:tcBorders>
              <w:top w:val="nil"/>
              <w:left w:val="nil"/>
              <w:bottom w:val="nil"/>
              <w:right w:val="nil"/>
            </w:tcBorders>
            <w:vAlign w:val="center"/>
          </w:tcPr>
          <w:p w14:paraId="4A43C615" w14:textId="77777777" w:rsidR="00E36C58" w:rsidRPr="00EB1A4C" w:rsidRDefault="00E36C58" w:rsidP="00AB141B">
            <w:pPr>
              <w:rPr>
                <w:rFonts w:ascii="Times New Roman" w:hAnsi="Times New Roman" w:cs="Times New Roman"/>
                <w:sz w:val="24"/>
                <w:szCs w:val="24"/>
              </w:rPr>
            </w:pPr>
          </w:p>
        </w:tc>
        <w:tc>
          <w:tcPr>
            <w:tcW w:w="1696" w:type="dxa"/>
            <w:tcBorders>
              <w:top w:val="nil"/>
              <w:left w:val="nil"/>
              <w:bottom w:val="single" w:sz="4" w:space="0" w:color="A5A5A5" w:themeColor="accent3"/>
              <w:right w:val="nil"/>
            </w:tcBorders>
            <w:shd w:val="clear" w:color="auto" w:fill="A5A5A5"/>
            <w:vAlign w:val="center"/>
          </w:tcPr>
          <w:p w14:paraId="2512F975" w14:textId="77777777" w:rsidR="00E36C58" w:rsidRPr="00875E6C" w:rsidRDefault="00E36C58" w:rsidP="00AB141B">
            <w:pPr>
              <w:rPr>
                <w:rFonts w:ascii="Times New Roman" w:hAnsi="Times New Roman" w:cs="Times New Roman"/>
                <w:b/>
                <w:bCs/>
                <w:color w:val="FFFFFF" w:themeColor="background1"/>
                <w:sz w:val="24"/>
                <w:szCs w:val="24"/>
              </w:rPr>
            </w:pPr>
            <w:r w:rsidRPr="00875E6C">
              <w:rPr>
                <w:rFonts w:ascii="Times New Roman" w:hAnsi="Times New Roman" w:cs="Times New Roman"/>
                <w:b/>
                <w:bCs/>
                <w:color w:val="FFFFFF" w:themeColor="background1"/>
                <w:sz w:val="24"/>
                <w:szCs w:val="24"/>
              </w:rPr>
              <w:t xml:space="preserve"> Product</w:t>
            </w:r>
          </w:p>
        </w:tc>
        <w:tc>
          <w:tcPr>
            <w:tcW w:w="976" w:type="dxa"/>
            <w:tcBorders>
              <w:top w:val="nil"/>
              <w:left w:val="nil"/>
              <w:bottom w:val="single" w:sz="4" w:space="0" w:color="A5A5A5" w:themeColor="accent3"/>
              <w:right w:val="nil"/>
            </w:tcBorders>
            <w:shd w:val="clear" w:color="auto" w:fill="A5A5A5"/>
            <w:vAlign w:val="center"/>
          </w:tcPr>
          <w:p w14:paraId="63F8D192" w14:textId="77777777" w:rsidR="00E36C58" w:rsidRPr="00875E6C" w:rsidRDefault="00E36C58" w:rsidP="00AB141B">
            <w:pPr>
              <w:jc w:val="right"/>
              <w:rPr>
                <w:rFonts w:ascii="Times New Roman" w:hAnsi="Times New Roman" w:cs="Times New Roman"/>
                <w:b/>
                <w:bCs/>
                <w:color w:val="FFFFFF" w:themeColor="background1"/>
                <w:sz w:val="24"/>
                <w:szCs w:val="24"/>
              </w:rPr>
            </w:pPr>
            <w:r w:rsidRPr="00875E6C">
              <w:rPr>
                <w:rFonts w:ascii="Times New Roman" w:hAnsi="Times New Roman" w:cs="Times New Roman"/>
                <w:b/>
                <w:bCs/>
                <w:color w:val="FFFFFF" w:themeColor="background1"/>
                <w:sz w:val="24"/>
                <w:szCs w:val="24"/>
              </w:rPr>
              <w:t>2020</w:t>
            </w:r>
          </w:p>
        </w:tc>
        <w:tc>
          <w:tcPr>
            <w:tcW w:w="976" w:type="dxa"/>
            <w:tcBorders>
              <w:top w:val="nil"/>
              <w:left w:val="nil"/>
              <w:bottom w:val="single" w:sz="4" w:space="0" w:color="A5A5A5" w:themeColor="accent3"/>
              <w:right w:val="nil"/>
            </w:tcBorders>
            <w:shd w:val="clear" w:color="auto" w:fill="A5A5A5"/>
            <w:vAlign w:val="center"/>
          </w:tcPr>
          <w:p w14:paraId="5B8CC699" w14:textId="77777777" w:rsidR="00E36C58" w:rsidRPr="00875E6C" w:rsidRDefault="00E36C58" w:rsidP="00AB141B">
            <w:pPr>
              <w:jc w:val="right"/>
              <w:rPr>
                <w:rFonts w:ascii="Times New Roman" w:hAnsi="Times New Roman" w:cs="Times New Roman"/>
                <w:b/>
                <w:bCs/>
                <w:color w:val="FFFFFF" w:themeColor="background1"/>
                <w:sz w:val="24"/>
                <w:szCs w:val="24"/>
              </w:rPr>
            </w:pPr>
            <w:r w:rsidRPr="00875E6C">
              <w:rPr>
                <w:rFonts w:ascii="Times New Roman" w:hAnsi="Times New Roman" w:cs="Times New Roman"/>
                <w:b/>
                <w:bCs/>
                <w:color w:val="FFFFFF" w:themeColor="background1"/>
                <w:sz w:val="24"/>
                <w:szCs w:val="24"/>
              </w:rPr>
              <w:t>2021</w:t>
            </w:r>
          </w:p>
        </w:tc>
        <w:tc>
          <w:tcPr>
            <w:tcW w:w="985" w:type="dxa"/>
            <w:tcBorders>
              <w:top w:val="nil"/>
              <w:left w:val="nil"/>
              <w:bottom w:val="single" w:sz="4" w:space="0" w:color="A5A5A5" w:themeColor="accent3"/>
              <w:right w:val="nil"/>
            </w:tcBorders>
            <w:shd w:val="clear" w:color="auto" w:fill="A5A5A5"/>
            <w:vAlign w:val="center"/>
          </w:tcPr>
          <w:p w14:paraId="42ABBF63" w14:textId="3441A8BE" w:rsidR="00E36C58" w:rsidRPr="00875E6C" w:rsidRDefault="00E36C58" w:rsidP="00AB141B">
            <w:pPr>
              <w:jc w:val="right"/>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Var</w:t>
            </w:r>
            <w:r w:rsidRPr="00875E6C">
              <w:rPr>
                <w:rFonts w:ascii="Times New Roman" w:hAnsi="Times New Roman" w:cs="Times New Roman"/>
                <w:b/>
                <w:bCs/>
                <w:color w:val="FFFFFF" w:themeColor="background1"/>
                <w:sz w:val="24"/>
                <w:szCs w:val="24"/>
              </w:rPr>
              <w:t xml:space="preserve"> %</w:t>
            </w:r>
          </w:p>
        </w:tc>
      </w:tr>
      <w:tr w:rsidR="00E36C58" w14:paraId="14ED1F5D" w14:textId="77777777" w:rsidTr="00890F9B">
        <w:tc>
          <w:tcPr>
            <w:tcW w:w="15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35BFBE21" w14:textId="0172EEC5" w:rsidR="00E36C58" w:rsidRPr="00EB1A4C" w:rsidRDefault="00E36C58" w:rsidP="00AB141B">
            <w:pPr>
              <w:rPr>
                <w:rFonts w:ascii="Times New Roman" w:hAnsi="Times New Roman" w:cs="Times New Roman"/>
                <w:sz w:val="24"/>
                <w:szCs w:val="24"/>
              </w:rPr>
            </w:pPr>
            <w:proofErr w:type="spellStart"/>
            <w:r>
              <w:rPr>
                <w:rFonts w:ascii="Times New Roman" w:hAnsi="Times New Roman" w:cs="Times New Roman"/>
                <w:sz w:val="24"/>
                <w:szCs w:val="24"/>
              </w:rPr>
              <w:t>Granel</w:t>
            </w:r>
            <w:proofErr w:type="spellEnd"/>
          </w:p>
        </w:tc>
        <w:tc>
          <w:tcPr>
            <w:tcW w:w="9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17EDD1AE"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214.5</w:t>
            </w:r>
          </w:p>
        </w:tc>
        <w:tc>
          <w:tcPr>
            <w:tcW w:w="9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1991C3F3"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315.0</w:t>
            </w:r>
          </w:p>
        </w:tc>
        <w:tc>
          <w:tcPr>
            <w:tcW w:w="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0816FC8D"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46.8</w:t>
            </w:r>
          </w:p>
        </w:tc>
        <w:tc>
          <w:tcPr>
            <w:tcW w:w="281" w:type="dxa"/>
            <w:tcBorders>
              <w:top w:val="nil"/>
              <w:left w:val="single" w:sz="4" w:space="0" w:color="A5A5A5" w:themeColor="accent3"/>
              <w:bottom w:val="nil"/>
              <w:right w:val="single" w:sz="4" w:space="0" w:color="A5A5A5" w:themeColor="accent3"/>
            </w:tcBorders>
          </w:tcPr>
          <w:p w14:paraId="74E35455" w14:textId="77777777" w:rsidR="00E36C58" w:rsidRPr="00EB1A4C" w:rsidRDefault="00E36C58" w:rsidP="00AB141B">
            <w:pPr>
              <w:rPr>
                <w:rFonts w:ascii="Times New Roman" w:hAnsi="Times New Roman" w:cs="Times New Roman"/>
                <w:sz w:val="24"/>
                <w:szCs w:val="24"/>
              </w:rPr>
            </w:pPr>
          </w:p>
        </w:tc>
        <w:tc>
          <w:tcPr>
            <w:tcW w:w="16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50273A0A" w14:textId="4FA0CD5F" w:rsidR="00E36C58" w:rsidRPr="00EB1A4C" w:rsidRDefault="00E36C58" w:rsidP="00AB141B">
            <w:pPr>
              <w:rPr>
                <w:rFonts w:ascii="Times New Roman" w:hAnsi="Times New Roman" w:cs="Times New Roman"/>
                <w:sz w:val="24"/>
                <w:szCs w:val="24"/>
              </w:rPr>
            </w:pPr>
            <w:proofErr w:type="spellStart"/>
            <w:r>
              <w:rPr>
                <w:rFonts w:ascii="Times New Roman" w:hAnsi="Times New Roman" w:cs="Times New Roman"/>
                <w:sz w:val="24"/>
                <w:szCs w:val="24"/>
              </w:rPr>
              <w:t>Harina</w:t>
            </w:r>
            <w:proofErr w:type="spellEnd"/>
            <w:r>
              <w:rPr>
                <w:rFonts w:ascii="Times New Roman" w:hAnsi="Times New Roman" w:cs="Times New Roman"/>
                <w:sz w:val="24"/>
                <w:szCs w:val="24"/>
              </w:rPr>
              <w:t xml:space="preserve"> de Soya</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0BEA6089"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89.4</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39862583"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140.9</w:t>
            </w:r>
          </w:p>
        </w:tc>
        <w:tc>
          <w:tcPr>
            <w:tcW w:w="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6A59DFD7"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57.7</w:t>
            </w:r>
          </w:p>
        </w:tc>
      </w:tr>
      <w:tr w:rsidR="00E36C58" w14:paraId="39F4C351" w14:textId="77777777" w:rsidTr="00890F9B">
        <w:tc>
          <w:tcPr>
            <w:tcW w:w="15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D8E79C" w14:textId="353563E9" w:rsidR="00E36C58" w:rsidRPr="00EB1A4C" w:rsidRDefault="00E36C58" w:rsidP="00AB141B">
            <w:pPr>
              <w:rPr>
                <w:rFonts w:ascii="Times New Roman" w:hAnsi="Times New Roman" w:cs="Times New Roman"/>
                <w:sz w:val="24"/>
                <w:szCs w:val="24"/>
              </w:rPr>
            </w:pPr>
            <w:proofErr w:type="spellStart"/>
            <w:r>
              <w:rPr>
                <w:rFonts w:ascii="Times New Roman" w:hAnsi="Times New Roman" w:cs="Times New Roman"/>
                <w:sz w:val="24"/>
                <w:szCs w:val="24"/>
              </w:rPr>
              <w:t>Intermedios</w:t>
            </w:r>
            <w:proofErr w:type="spellEnd"/>
          </w:p>
        </w:tc>
        <w:tc>
          <w:tcPr>
            <w:tcW w:w="9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73A27B0"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157.3</w:t>
            </w:r>
          </w:p>
        </w:tc>
        <w:tc>
          <w:tcPr>
            <w:tcW w:w="9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114083"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219.6</w:t>
            </w:r>
          </w:p>
        </w:tc>
        <w:tc>
          <w:tcPr>
            <w:tcW w:w="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E4B68E"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39.7</w:t>
            </w:r>
          </w:p>
        </w:tc>
        <w:tc>
          <w:tcPr>
            <w:tcW w:w="281" w:type="dxa"/>
            <w:tcBorders>
              <w:top w:val="nil"/>
              <w:left w:val="single" w:sz="4" w:space="0" w:color="A5A5A5" w:themeColor="accent3"/>
              <w:bottom w:val="nil"/>
              <w:right w:val="single" w:sz="4" w:space="0" w:color="A5A5A5" w:themeColor="accent3"/>
            </w:tcBorders>
          </w:tcPr>
          <w:p w14:paraId="563C650A" w14:textId="77777777" w:rsidR="00E36C58" w:rsidRPr="00EB1A4C" w:rsidRDefault="00E36C58" w:rsidP="00AB141B">
            <w:pPr>
              <w:rPr>
                <w:rFonts w:ascii="Times New Roman" w:hAnsi="Times New Roman" w:cs="Times New Roman"/>
                <w:sz w:val="24"/>
                <w:szCs w:val="24"/>
              </w:rPr>
            </w:pPr>
          </w:p>
        </w:tc>
        <w:tc>
          <w:tcPr>
            <w:tcW w:w="16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FD096C" w14:textId="1657BE87" w:rsidR="00E36C58" w:rsidRPr="00EB1A4C" w:rsidRDefault="00E36C58" w:rsidP="00AB141B">
            <w:pPr>
              <w:rPr>
                <w:rFonts w:ascii="Times New Roman" w:hAnsi="Times New Roman" w:cs="Times New Roman"/>
                <w:sz w:val="24"/>
                <w:szCs w:val="24"/>
              </w:rPr>
            </w:pPr>
            <w:proofErr w:type="spellStart"/>
            <w:r>
              <w:rPr>
                <w:rFonts w:ascii="Times New Roman" w:hAnsi="Times New Roman" w:cs="Times New Roman"/>
                <w:sz w:val="24"/>
                <w:szCs w:val="24"/>
              </w:rPr>
              <w:t>Maiz</w:t>
            </w:r>
            <w:proofErr w:type="spellEnd"/>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5F5771"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100.8</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AA5068"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107.2</w:t>
            </w:r>
          </w:p>
        </w:tc>
        <w:tc>
          <w:tcPr>
            <w:tcW w:w="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3DB9520"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6.4</w:t>
            </w:r>
          </w:p>
        </w:tc>
      </w:tr>
      <w:tr w:rsidR="00E36C58" w14:paraId="2CFD2334" w14:textId="77777777" w:rsidTr="00890F9B">
        <w:tc>
          <w:tcPr>
            <w:tcW w:w="15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7DF5DA55" w14:textId="3A243012" w:rsidR="00E36C58" w:rsidRPr="00EB1A4C" w:rsidRDefault="00E36C58" w:rsidP="00AB141B">
            <w:pPr>
              <w:rPr>
                <w:rFonts w:ascii="Times New Roman" w:hAnsi="Times New Roman" w:cs="Times New Roman"/>
                <w:sz w:val="24"/>
                <w:szCs w:val="24"/>
              </w:rPr>
            </w:pPr>
            <w:proofErr w:type="spellStart"/>
            <w:r>
              <w:rPr>
                <w:rFonts w:ascii="Times New Roman" w:hAnsi="Times New Roman" w:cs="Times New Roman"/>
                <w:sz w:val="24"/>
                <w:szCs w:val="24"/>
              </w:rPr>
              <w:t>Consumo</w:t>
            </w:r>
            <w:proofErr w:type="spellEnd"/>
            <w:r>
              <w:rPr>
                <w:rFonts w:ascii="Times New Roman" w:hAnsi="Times New Roman" w:cs="Times New Roman"/>
                <w:sz w:val="24"/>
                <w:szCs w:val="24"/>
              </w:rPr>
              <w:t xml:space="preserve"> Final</w:t>
            </w:r>
          </w:p>
        </w:tc>
        <w:tc>
          <w:tcPr>
            <w:tcW w:w="9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5BC5DBE6"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63.6</w:t>
            </w:r>
          </w:p>
        </w:tc>
        <w:tc>
          <w:tcPr>
            <w:tcW w:w="9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5091EB7B"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96.3</w:t>
            </w:r>
          </w:p>
        </w:tc>
        <w:tc>
          <w:tcPr>
            <w:tcW w:w="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0903C13A"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51.5</w:t>
            </w:r>
          </w:p>
        </w:tc>
        <w:tc>
          <w:tcPr>
            <w:tcW w:w="281" w:type="dxa"/>
            <w:tcBorders>
              <w:top w:val="nil"/>
              <w:left w:val="single" w:sz="4" w:space="0" w:color="A5A5A5" w:themeColor="accent3"/>
              <w:bottom w:val="nil"/>
              <w:right w:val="single" w:sz="4" w:space="0" w:color="A5A5A5" w:themeColor="accent3"/>
            </w:tcBorders>
          </w:tcPr>
          <w:p w14:paraId="701884FD" w14:textId="77777777" w:rsidR="00E36C58" w:rsidRPr="00EB1A4C" w:rsidRDefault="00E36C58" w:rsidP="00AB141B">
            <w:pPr>
              <w:rPr>
                <w:rFonts w:ascii="Times New Roman" w:hAnsi="Times New Roman" w:cs="Times New Roman"/>
                <w:sz w:val="24"/>
                <w:szCs w:val="24"/>
              </w:rPr>
            </w:pPr>
          </w:p>
        </w:tc>
        <w:tc>
          <w:tcPr>
            <w:tcW w:w="16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77B2E394" w14:textId="69D13856" w:rsidR="00E36C58" w:rsidRPr="00EB1A4C" w:rsidRDefault="00E36C58" w:rsidP="00AB141B">
            <w:pPr>
              <w:rPr>
                <w:rFonts w:ascii="Times New Roman" w:hAnsi="Times New Roman" w:cs="Times New Roman"/>
                <w:sz w:val="24"/>
                <w:szCs w:val="24"/>
              </w:rPr>
            </w:pPr>
            <w:r>
              <w:rPr>
                <w:rFonts w:ascii="Times New Roman" w:hAnsi="Times New Roman" w:cs="Times New Roman"/>
                <w:sz w:val="24"/>
                <w:szCs w:val="24"/>
              </w:rPr>
              <w:t>Arroz</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24D1A6C5"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30.9</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19F78CBD"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80.5</w:t>
            </w:r>
          </w:p>
        </w:tc>
        <w:tc>
          <w:tcPr>
            <w:tcW w:w="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48DEF8D7"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160.2</w:t>
            </w:r>
          </w:p>
        </w:tc>
      </w:tr>
      <w:tr w:rsidR="00E36C58" w14:paraId="403951BF" w14:textId="77777777" w:rsidTr="00890F9B">
        <w:tc>
          <w:tcPr>
            <w:tcW w:w="15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3C463B" w14:textId="19A1EB49" w:rsidR="00E36C58" w:rsidRPr="00EB1A4C" w:rsidRDefault="00E36C58" w:rsidP="00AB141B">
            <w:pPr>
              <w:rPr>
                <w:rFonts w:ascii="Times New Roman" w:hAnsi="Times New Roman" w:cs="Times New Roman"/>
                <w:sz w:val="24"/>
                <w:szCs w:val="24"/>
              </w:rPr>
            </w:pPr>
            <w:proofErr w:type="spellStart"/>
            <w:r>
              <w:rPr>
                <w:rFonts w:ascii="Times New Roman" w:hAnsi="Times New Roman" w:cs="Times New Roman"/>
                <w:sz w:val="24"/>
                <w:szCs w:val="24"/>
              </w:rPr>
              <w:t>Relacionados</w:t>
            </w:r>
            <w:proofErr w:type="spellEnd"/>
          </w:p>
        </w:tc>
        <w:tc>
          <w:tcPr>
            <w:tcW w:w="9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5EEBB9"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2.7</w:t>
            </w:r>
          </w:p>
        </w:tc>
        <w:tc>
          <w:tcPr>
            <w:tcW w:w="9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85EB14"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3.2</w:t>
            </w:r>
          </w:p>
        </w:tc>
        <w:tc>
          <w:tcPr>
            <w:tcW w:w="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998340F"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19.0</w:t>
            </w:r>
          </w:p>
        </w:tc>
        <w:tc>
          <w:tcPr>
            <w:tcW w:w="281" w:type="dxa"/>
            <w:tcBorders>
              <w:top w:val="nil"/>
              <w:left w:val="single" w:sz="4" w:space="0" w:color="A5A5A5" w:themeColor="accent3"/>
              <w:bottom w:val="nil"/>
              <w:right w:val="single" w:sz="4" w:space="0" w:color="A5A5A5" w:themeColor="accent3"/>
            </w:tcBorders>
          </w:tcPr>
          <w:p w14:paraId="6F11FC76" w14:textId="77777777" w:rsidR="00E36C58" w:rsidRPr="00EB1A4C" w:rsidRDefault="00E36C58" w:rsidP="00AB141B">
            <w:pPr>
              <w:rPr>
                <w:rFonts w:ascii="Times New Roman" w:hAnsi="Times New Roman" w:cs="Times New Roman"/>
                <w:sz w:val="24"/>
                <w:szCs w:val="24"/>
              </w:rPr>
            </w:pPr>
          </w:p>
        </w:tc>
        <w:tc>
          <w:tcPr>
            <w:tcW w:w="16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0F32FB" w14:textId="6FC9DE59" w:rsidR="00E36C58" w:rsidRPr="00EB1A4C" w:rsidRDefault="00E36C58" w:rsidP="00AB141B">
            <w:pPr>
              <w:rPr>
                <w:rFonts w:ascii="Times New Roman" w:hAnsi="Times New Roman" w:cs="Times New Roman"/>
                <w:sz w:val="24"/>
                <w:szCs w:val="24"/>
              </w:rPr>
            </w:pPr>
            <w:r>
              <w:rPr>
                <w:rFonts w:ascii="Times New Roman" w:hAnsi="Times New Roman" w:cs="Times New Roman"/>
                <w:sz w:val="24"/>
                <w:szCs w:val="24"/>
              </w:rPr>
              <w:t>Trigo</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238142"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66.9</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226BB0"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98.4</w:t>
            </w:r>
          </w:p>
        </w:tc>
        <w:tc>
          <w:tcPr>
            <w:tcW w:w="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E8A06F2"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47.1</w:t>
            </w:r>
          </w:p>
        </w:tc>
      </w:tr>
      <w:tr w:rsidR="00E36C58" w14:paraId="70F0F0B3" w14:textId="77777777" w:rsidTr="00890F9B">
        <w:tc>
          <w:tcPr>
            <w:tcW w:w="15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7201F283" w14:textId="77777777" w:rsidR="00E36C58" w:rsidRPr="00EB1A4C" w:rsidRDefault="00E36C58" w:rsidP="00AB141B">
            <w:pPr>
              <w:rPr>
                <w:rFonts w:ascii="Times New Roman" w:hAnsi="Times New Roman" w:cs="Times New Roman"/>
                <w:sz w:val="24"/>
                <w:szCs w:val="24"/>
              </w:rPr>
            </w:pPr>
            <w:r w:rsidRPr="00EB1A4C">
              <w:rPr>
                <w:rFonts w:ascii="Times New Roman" w:hAnsi="Times New Roman" w:cs="Times New Roman"/>
                <w:sz w:val="24"/>
                <w:szCs w:val="24"/>
              </w:rPr>
              <w:t>Total</w:t>
            </w:r>
          </w:p>
        </w:tc>
        <w:tc>
          <w:tcPr>
            <w:tcW w:w="9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4FC17B88"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438.0</w:t>
            </w:r>
          </w:p>
        </w:tc>
        <w:tc>
          <w:tcPr>
            <w:tcW w:w="9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4CACF8A2"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634.1</w:t>
            </w:r>
          </w:p>
        </w:tc>
        <w:tc>
          <w:tcPr>
            <w:tcW w:w="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22CB2BBB"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44.8</w:t>
            </w:r>
          </w:p>
        </w:tc>
        <w:tc>
          <w:tcPr>
            <w:tcW w:w="281" w:type="dxa"/>
            <w:tcBorders>
              <w:top w:val="nil"/>
              <w:left w:val="single" w:sz="4" w:space="0" w:color="A5A5A5" w:themeColor="accent3"/>
              <w:bottom w:val="nil"/>
              <w:right w:val="single" w:sz="4" w:space="0" w:color="A5A5A5" w:themeColor="accent3"/>
            </w:tcBorders>
          </w:tcPr>
          <w:p w14:paraId="67596658" w14:textId="77777777" w:rsidR="00E36C58" w:rsidRPr="00EB1A4C" w:rsidRDefault="00E36C58" w:rsidP="00AB141B">
            <w:pPr>
              <w:rPr>
                <w:rFonts w:ascii="Times New Roman" w:hAnsi="Times New Roman" w:cs="Times New Roman"/>
                <w:sz w:val="24"/>
                <w:szCs w:val="24"/>
              </w:rPr>
            </w:pPr>
          </w:p>
        </w:tc>
        <w:tc>
          <w:tcPr>
            <w:tcW w:w="16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6BB82DC2" w14:textId="1D160275" w:rsidR="00E36C58" w:rsidRPr="00EB1A4C" w:rsidRDefault="00E36C58" w:rsidP="00AB141B">
            <w:pPr>
              <w:rPr>
                <w:rFonts w:ascii="Times New Roman" w:hAnsi="Times New Roman" w:cs="Times New Roman"/>
                <w:sz w:val="24"/>
                <w:szCs w:val="24"/>
              </w:rPr>
            </w:pPr>
            <w:proofErr w:type="spellStart"/>
            <w:r>
              <w:rPr>
                <w:rFonts w:ascii="Times New Roman" w:hAnsi="Times New Roman" w:cs="Times New Roman"/>
                <w:sz w:val="24"/>
                <w:szCs w:val="24"/>
              </w:rPr>
              <w:t>Aceite</w:t>
            </w:r>
            <w:proofErr w:type="spellEnd"/>
            <w:r>
              <w:rPr>
                <w:rFonts w:ascii="Times New Roman" w:hAnsi="Times New Roman" w:cs="Times New Roman"/>
                <w:sz w:val="24"/>
                <w:szCs w:val="24"/>
              </w:rPr>
              <w:t xml:space="preserve"> de Soya</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13C06BFB"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54.0</w:t>
            </w:r>
          </w:p>
        </w:tc>
        <w:tc>
          <w:tcPr>
            <w:tcW w:w="9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57FB4370"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53.1</w:t>
            </w:r>
          </w:p>
        </w:tc>
        <w:tc>
          <w:tcPr>
            <w:tcW w:w="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DEDED"/>
          </w:tcPr>
          <w:p w14:paraId="5D5715EC" w14:textId="77777777" w:rsidR="00E36C58" w:rsidRPr="00EB1A4C" w:rsidRDefault="00E36C58" w:rsidP="00AB141B">
            <w:pPr>
              <w:jc w:val="right"/>
              <w:rPr>
                <w:rFonts w:ascii="Times New Roman" w:hAnsi="Times New Roman" w:cs="Times New Roman"/>
                <w:sz w:val="24"/>
                <w:szCs w:val="24"/>
              </w:rPr>
            </w:pPr>
            <w:r>
              <w:rPr>
                <w:rFonts w:ascii="Times New Roman" w:hAnsi="Times New Roman" w:cs="Times New Roman"/>
                <w:sz w:val="24"/>
                <w:szCs w:val="24"/>
              </w:rPr>
              <w:t>-1.7</w:t>
            </w:r>
          </w:p>
        </w:tc>
      </w:tr>
      <w:tr w:rsidR="00E36C58" w14:paraId="364728AD" w14:textId="77777777" w:rsidTr="00890F9B">
        <w:tc>
          <w:tcPr>
            <w:tcW w:w="4446" w:type="dxa"/>
            <w:gridSpan w:val="4"/>
            <w:tcBorders>
              <w:top w:val="single" w:sz="4" w:space="0" w:color="A5A5A5" w:themeColor="accent3"/>
              <w:left w:val="nil"/>
              <w:bottom w:val="nil"/>
              <w:right w:val="nil"/>
            </w:tcBorders>
            <w:shd w:val="clear" w:color="auto" w:fill="FFFFFF" w:themeFill="background1"/>
          </w:tcPr>
          <w:p w14:paraId="664EE76E" w14:textId="4A634D32" w:rsidR="00E36C58" w:rsidRPr="0041190F" w:rsidRDefault="00E36C58" w:rsidP="00AB141B">
            <w:pPr>
              <w:rPr>
                <w:rFonts w:ascii="Times New Roman" w:hAnsi="Times New Roman" w:cs="Times New Roman"/>
                <w:i/>
                <w:iCs/>
                <w:sz w:val="24"/>
                <w:szCs w:val="24"/>
              </w:rPr>
            </w:pPr>
            <w:r>
              <w:rPr>
                <w:rFonts w:ascii="Times New Roman" w:hAnsi="Times New Roman" w:cs="Times New Roman"/>
                <w:i/>
                <w:iCs/>
                <w:sz w:val="16"/>
                <w:szCs w:val="16"/>
              </w:rPr>
              <w:t>Fuente</w:t>
            </w:r>
            <w:r w:rsidRPr="0041190F">
              <w:rPr>
                <w:rFonts w:ascii="Times New Roman" w:hAnsi="Times New Roman" w:cs="Times New Roman"/>
                <w:i/>
                <w:iCs/>
                <w:sz w:val="16"/>
                <w:szCs w:val="16"/>
              </w:rPr>
              <w:t>: Trade Data Monitor</w:t>
            </w:r>
          </w:p>
        </w:tc>
        <w:tc>
          <w:tcPr>
            <w:tcW w:w="281" w:type="dxa"/>
            <w:tcBorders>
              <w:top w:val="nil"/>
              <w:left w:val="nil"/>
              <w:bottom w:val="nil"/>
              <w:right w:val="nil"/>
            </w:tcBorders>
            <w:shd w:val="clear" w:color="auto" w:fill="FFFFFF" w:themeFill="background1"/>
          </w:tcPr>
          <w:p w14:paraId="7C115015" w14:textId="77777777" w:rsidR="00E36C58" w:rsidRPr="00EB1A4C" w:rsidRDefault="00E36C58" w:rsidP="00AB141B">
            <w:pPr>
              <w:rPr>
                <w:rFonts w:ascii="Times New Roman" w:hAnsi="Times New Roman" w:cs="Times New Roman"/>
                <w:sz w:val="24"/>
                <w:szCs w:val="24"/>
              </w:rPr>
            </w:pPr>
          </w:p>
        </w:tc>
        <w:tc>
          <w:tcPr>
            <w:tcW w:w="4633" w:type="dxa"/>
            <w:gridSpan w:val="4"/>
            <w:tcBorders>
              <w:top w:val="single" w:sz="4" w:space="0" w:color="A5A5A5" w:themeColor="accent3"/>
              <w:left w:val="nil"/>
              <w:bottom w:val="nil"/>
              <w:right w:val="nil"/>
            </w:tcBorders>
            <w:shd w:val="clear" w:color="auto" w:fill="FFFFFF" w:themeFill="background1"/>
          </w:tcPr>
          <w:p w14:paraId="3F3A2FC3" w14:textId="5D19D487" w:rsidR="00E36C58" w:rsidRPr="0041190F" w:rsidRDefault="00E36C58" w:rsidP="00AB141B">
            <w:pPr>
              <w:rPr>
                <w:rFonts w:ascii="Times New Roman" w:hAnsi="Times New Roman" w:cs="Times New Roman"/>
                <w:i/>
                <w:iCs/>
                <w:sz w:val="24"/>
                <w:szCs w:val="24"/>
              </w:rPr>
            </w:pPr>
            <w:r>
              <w:rPr>
                <w:rFonts w:ascii="Times New Roman" w:hAnsi="Times New Roman" w:cs="Times New Roman"/>
                <w:i/>
                <w:iCs/>
                <w:sz w:val="16"/>
                <w:szCs w:val="16"/>
              </w:rPr>
              <w:t>Fuente</w:t>
            </w:r>
            <w:r w:rsidRPr="0041190F">
              <w:rPr>
                <w:rFonts w:ascii="Times New Roman" w:hAnsi="Times New Roman" w:cs="Times New Roman"/>
                <w:i/>
                <w:iCs/>
                <w:sz w:val="16"/>
                <w:szCs w:val="16"/>
              </w:rPr>
              <w:t>: Trade Data Monitor</w:t>
            </w:r>
          </w:p>
        </w:tc>
      </w:tr>
    </w:tbl>
    <w:p w14:paraId="17213196" w14:textId="77777777" w:rsidR="003A70FB" w:rsidRDefault="003A70FB" w:rsidP="003A70FB">
      <w:pPr>
        <w:spacing w:after="0" w:line="240" w:lineRule="auto"/>
        <w:jc w:val="both"/>
        <w:rPr>
          <w:rFonts w:ascii="Times New Roman" w:hAnsi="Times New Roman" w:cs="Times New Roman"/>
          <w:b/>
          <w:bCs/>
          <w:sz w:val="24"/>
          <w:szCs w:val="24"/>
          <w:lang w:val="es-VE"/>
        </w:rPr>
      </w:pPr>
    </w:p>
    <w:p w14:paraId="6CB521CB" w14:textId="6A854FEA" w:rsidR="003A70FB" w:rsidRDefault="00890F9B" w:rsidP="003A70FB">
      <w:pPr>
        <w:spacing w:after="0" w:line="240" w:lineRule="auto"/>
        <w:jc w:val="both"/>
        <w:rPr>
          <w:rFonts w:ascii="Times New Roman" w:hAnsi="Times New Roman" w:cs="Times New Roman"/>
          <w:b/>
          <w:bCs/>
          <w:sz w:val="24"/>
          <w:szCs w:val="24"/>
          <w:lang w:val="es-VE"/>
        </w:rPr>
      </w:pPr>
      <w:r w:rsidRPr="00890F9B">
        <w:rPr>
          <w:rFonts w:ascii="Times New Roman" w:hAnsi="Times New Roman" w:cs="Times New Roman"/>
          <w:b/>
          <w:bCs/>
          <w:sz w:val="24"/>
          <w:szCs w:val="24"/>
          <w:lang w:val="es-VE"/>
        </w:rPr>
        <w:t>Perspectivas a corto plazo</w:t>
      </w:r>
      <w:r>
        <w:rPr>
          <w:rFonts w:ascii="Times New Roman" w:hAnsi="Times New Roman" w:cs="Times New Roman"/>
          <w:b/>
          <w:bCs/>
          <w:sz w:val="24"/>
          <w:szCs w:val="24"/>
          <w:lang w:val="es-VE"/>
        </w:rPr>
        <w:t>.</w:t>
      </w:r>
    </w:p>
    <w:p w14:paraId="1757B5AD" w14:textId="77777777" w:rsidR="00890F9B" w:rsidRDefault="00890F9B" w:rsidP="003A70FB">
      <w:pPr>
        <w:spacing w:after="0" w:line="240" w:lineRule="auto"/>
        <w:jc w:val="both"/>
        <w:rPr>
          <w:rFonts w:ascii="Times New Roman" w:hAnsi="Times New Roman" w:cs="Times New Roman"/>
          <w:b/>
          <w:bCs/>
          <w:sz w:val="24"/>
          <w:szCs w:val="24"/>
          <w:lang w:val="es-VE"/>
        </w:rPr>
      </w:pPr>
    </w:p>
    <w:p w14:paraId="75E6DD42" w14:textId="455E7A42" w:rsidR="00890F9B" w:rsidRPr="00890F9B" w:rsidRDefault="00890F9B" w:rsidP="00890F9B">
      <w:pPr>
        <w:spacing w:after="0" w:line="240" w:lineRule="auto"/>
        <w:rPr>
          <w:rFonts w:ascii="Times New Roman" w:hAnsi="Times New Roman" w:cs="Times New Roman"/>
          <w:sz w:val="24"/>
          <w:szCs w:val="24"/>
          <w:lang w:val="es-VE"/>
        </w:rPr>
      </w:pPr>
      <w:r w:rsidRPr="00890F9B">
        <w:rPr>
          <w:rFonts w:ascii="Times New Roman" w:hAnsi="Times New Roman" w:cs="Times New Roman"/>
          <w:sz w:val="24"/>
          <w:szCs w:val="24"/>
          <w:lang w:val="es-VE"/>
        </w:rPr>
        <w:t xml:space="preserve">En 2022, la economía venezolana habrá superado la hiperinflación y los expertos prevén que crezca entre un cuatro y un cinco por ciento, </w:t>
      </w:r>
      <w:r>
        <w:rPr>
          <w:rFonts w:ascii="Times New Roman" w:hAnsi="Times New Roman" w:cs="Times New Roman"/>
          <w:sz w:val="24"/>
          <w:szCs w:val="24"/>
          <w:lang w:val="es-VE"/>
        </w:rPr>
        <w:t>combinado</w:t>
      </w:r>
      <w:r w:rsidRPr="00890F9B">
        <w:rPr>
          <w:rFonts w:ascii="Times New Roman" w:hAnsi="Times New Roman" w:cs="Times New Roman"/>
          <w:sz w:val="24"/>
          <w:szCs w:val="24"/>
          <w:lang w:val="es-VE"/>
        </w:rPr>
        <w:t xml:space="preserve"> con un crecimiento del consumo privado previsto </w:t>
      </w:r>
      <w:r>
        <w:rPr>
          <w:rFonts w:ascii="Times New Roman" w:hAnsi="Times New Roman" w:cs="Times New Roman"/>
          <w:sz w:val="24"/>
          <w:szCs w:val="24"/>
          <w:lang w:val="es-VE"/>
        </w:rPr>
        <w:t xml:space="preserve">en un </w:t>
      </w:r>
      <w:r w:rsidRPr="00890F9B">
        <w:rPr>
          <w:rFonts w:ascii="Times New Roman" w:hAnsi="Times New Roman" w:cs="Times New Roman"/>
          <w:sz w:val="24"/>
          <w:szCs w:val="24"/>
          <w:lang w:val="es-VE"/>
        </w:rPr>
        <w:t xml:space="preserve">10 por ciento. En general, los productos estadounidenses tienen ventajas competitivas para mejorar aún más </w:t>
      </w:r>
      <w:r>
        <w:rPr>
          <w:rFonts w:ascii="Times New Roman" w:hAnsi="Times New Roman" w:cs="Times New Roman"/>
          <w:sz w:val="24"/>
          <w:szCs w:val="24"/>
          <w:lang w:val="es-VE"/>
        </w:rPr>
        <w:t>su</w:t>
      </w:r>
      <w:r w:rsidRPr="00890F9B">
        <w:rPr>
          <w:rFonts w:ascii="Times New Roman" w:hAnsi="Times New Roman" w:cs="Times New Roman"/>
          <w:sz w:val="24"/>
          <w:szCs w:val="24"/>
          <w:lang w:val="es-VE"/>
        </w:rPr>
        <w:t xml:space="preserve"> cuota de mercado.</w:t>
      </w:r>
    </w:p>
    <w:p w14:paraId="1B5F2734" w14:textId="77777777" w:rsidR="003A70FB" w:rsidRPr="00890F9B" w:rsidRDefault="003A70FB" w:rsidP="003A70FB">
      <w:pPr>
        <w:spacing w:after="0" w:line="240" w:lineRule="auto"/>
        <w:jc w:val="both"/>
        <w:rPr>
          <w:rFonts w:ascii="Times New Roman" w:hAnsi="Times New Roman" w:cs="Times New Roman"/>
          <w:sz w:val="24"/>
          <w:szCs w:val="24"/>
          <w:lang w:val="es-VE"/>
        </w:rPr>
      </w:pPr>
    </w:p>
    <w:p w14:paraId="550032F4" w14:textId="77777777" w:rsidR="003A70FB" w:rsidRPr="00890F9B" w:rsidRDefault="003A70FB" w:rsidP="003A70FB">
      <w:pPr>
        <w:spacing w:after="0" w:line="240" w:lineRule="auto"/>
        <w:jc w:val="both"/>
        <w:rPr>
          <w:rFonts w:ascii="Times New Roman" w:hAnsi="Times New Roman" w:cs="Times New Roman"/>
          <w:sz w:val="24"/>
          <w:szCs w:val="24"/>
          <w:lang w:val="es-VE"/>
        </w:rPr>
      </w:pPr>
    </w:p>
    <w:p w14:paraId="04C5A2FE" w14:textId="77777777" w:rsidR="003A70FB" w:rsidRPr="00890F9B" w:rsidRDefault="003A70FB" w:rsidP="003A70FB">
      <w:pPr>
        <w:spacing w:after="0" w:line="240" w:lineRule="auto"/>
        <w:jc w:val="both"/>
        <w:rPr>
          <w:rFonts w:ascii="Times New Roman" w:hAnsi="Times New Roman" w:cs="Times New Roman"/>
          <w:sz w:val="24"/>
          <w:szCs w:val="24"/>
          <w:lang w:val="es-VE"/>
        </w:rPr>
      </w:pPr>
    </w:p>
    <w:p w14:paraId="0CE50E52" w14:textId="77777777" w:rsidR="003A70FB" w:rsidRPr="00890F9B" w:rsidRDefault="003A70FB" w:rsidP="003A70FB">
      <w:pPr>
        <w:spacing w:after="0" w:line="240" w:lineRule="auto"/>
        <w:jc w:val="both"/>
        <w:rPr>
          <w:rFonts w:ascii="Times New Roman" w:hAnsi="Times New Roman" w:cs="Times New Roman"/>
          <w:sz w:val="24"/>
          <w:szCs w:val="24"/>
          <w:lang w:val="es-VE"/>
        </w:rPr>
      </w:pPr>
    </w:p>
    <w:p w14:paraId="559C2CBD" w14:textId="77777777" w:rsidR="003A70FB" w:rsidRPr="00890F9B" w:rsidRDefault="003A70FB" w:rsidP="003A70FB">
      <w:pPr>
        <w:spacing w:after="0" w:line="240" w:lineRule="auto"/>
        <w:jc w:val="both"/>
        <w:rPr>
          <w:rFonts w:ascii="Times New Roman" w:hAnsi="Times New Roman" w:cs="Times New Roman"/>
          <w:sz w:val="24"/>
          <w:szCs w:val="24"/>
          <w:lang w:val="es-VE"/>
        </w:rPr>
      </w:pPr>
    </w:p>
    <w:p w14:paraId="6C7596A7" w14:textId="77777777" w:rsidR="003A70FB" w:rsidRPr="00890F9B" w:rsidRDefault="003A70FB" w:rsidP="003A70FB">
      <w:pPr>
        <w:spacing w:after="0" w:line="240" w:lineRule="auto"/>
        <w:jc w:val="both"/>
        <w:rPr>
          <w:rFonts w:ascii="Times New Roman" w:hAnsi="Times New Roman" w:cs="Times New Roman"/>
          <w:sz w:val="24"/>
          <w:szCs w:val="24"/>
          <w:lang w:val="es-VE"/>
        </w:rPr>
      </w:pPr>
    </w:p>
    <w:p w14:paraId="7F0FEF76" w14:textId="69EEC16C" w:rsidR="003A70FB" w:rsidRDefault="003A70FB" w:rsidP="003A70FB">
      <w:pPr>
        <w:spacing w:after="0" w:line="240" w:lineRule="auto"/>
        <w:jc w:val="both"/>
        <w:rPr>
          <w:rFonts w:ascii="Times New Roman" w:hAnsi="Times New Roman" w:cs="Times New Roman"/>
          <w:sz w:val="24"/>
          <w:szCs w:val="24"/>
          <w:lang w:val="es-VE"/>
        </w:rPr>
      </w:pPr>
    </w:p>
    <w:p w14:paraId="42602E30" w14:textId="62BAEE03" w:rsidR="00C60215" w:rsidRDefault="00C60215" w:rsidP="00C60215">
      <w:pPr>
        <w:spacing w:after="0" w:line="240" w:lineRule="auto"/>
        <w:rPr>
          <w:rFonts w:ascii="Times New Roman" w:eastAsia="Times New Roman" w:hAnsi="Times New Roman" w:cs="Times New Roman"/>
          <w:b/>
          <w:bCs/>
          <w:color w:val="222222"/>
          <w:sz w:val="24"/>
          <w:szCs w:val="24"/>
          <w:lang w:val="es-VE" w:eastAsia="es-VE"/>
        </w:rPr>
      </w:pPr>
      <w:r>
        <w:rPr>
          <w:rFonts w:ascii="Times New Roman" w:eastAsia="Times New Roman" w:hAnsi="Times New Roman" w:cs="Times New Roman"/>
          <w:b/>
          <w:bCs/>
          <w:color w:val="222222"/>
          <w:sz w:val="24"/>
          <w:szCs w:val="24"/>
          <w:lang w:val="es-VE" w:eastAsia="es-VE"/>
        </w:rPr>
        <w:lastRenderedPageBreak/>
        <w:t>Factores</w:t>
      </w:r>
      <w:r w:rsidRPr="00C60215">
        <w:rPr>
          <w:rFonts w:ascii="Times New Roman" w:eastAsia="Times New Roman" w:hAnsi="Times New Roman" w:cs="Times New Roman"/>
          <w:b/>
          <w:bCs/>
          <w:color w:val="222222"/>
          <w:sz w:val="24"/>
          <w:szCs w:val="24"/>
          <w:lang w:val="es-VE" w:eastAsia="es-VE"/>
        </w:rPr>
        <w:t xml:space="preserve"> relevantes del mercado venezolano para los exportadores estadounidenses.</w:t>
      </w:r>
    </w:p>
    <w:p w14:paraId="04D4176C" w14:textId="77777777" w:rsidR="00C60215" w:rsidRPr="00C60215" w:rsidRDefault="00C60215" w:rsidP="00C60215">
      <w:pPr>
        <w:spacing w:after="0" w:line="240" w:lineRule="auto"/>
        <w:rPr>
          <w:rFonts w:ascii="Times New Roman" w:eastAsia="Times New Roman" w:hAnsi="Times New Roman" w:cs="Times New Roman"/>
          <w:color w:val="222222"/>
          <w:sz w:val="24"/>
          <w:szCs w:val="24"/>
          <w:lang w:val="es-VE" w:eastAsia="es-VE"/>
        </w:rPr>
      </w:pPr>
    </w:p>
    <w:tbl>
      <w:tblPr>
        <w:tblStyle w:val="ListTable6Colorful-Accent3"/>
        <w:tblW w:w="0" w:type="auto"/>
        <w:tblCellMar>
          <w:top w:w="115" w:type="dxa"/>
          <w:bottom w:w="115" w:type="dxa"/>
        </w:tblCellMar>
        <w:tblLook w:val="04A0" w:firstRow="1" w:lastRow="0" w:firstColumn="1" w:lastColumn="0" w:noHBand="0" w:noVBand="1"/>
      </w:tblPr>
      <w:tblGrid>
        <w:gridCol w:w="4410"/>
        <w:gridCol w:w="270"/>
        <w:gridCol w:w="4680"/>
      </w:tblGrid>
      <w:tr w:rsidR="00C60215" w:rsidRPr="00E73924" w14:paraId="558162C2" w14:textId="77777777" w:rsidTr="00AB1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7ED8BEA7" w14:textId="6338BA31" w:rsidR="00C60215" w:rsidRPr="00E73924" w:rsidRDefault="00C60215" w:rsidP="00AB141B">
            <w:pPr>
              <w:rPr>
                <w:rFonts w:ascii="Times New Roman" w:eastAsia="Times New Roman" w:hAnsi="Times New Roman" w:cs="Times New Roman"/>
                <w:color w:val="222222"/>
                <w:sz w:val="24"/>
                <w:szCs w:val="24"/>
                <w:lang w:eastAsia="es-VE"/>
              </w:rPr>
            </w:pPr>
            <w:proofErr w:type="spellStart"/>
            <w:r>
              <w:rPr>
                <w:rFonts w:ascii="Times New Roman" w:eastAsia="Times New Roman" w:hAnsi="Times New Roman" w:cs="Times New Roman"/>
                <w:color w:val="222222"/>
                <w:sz w:val="24"/>
                <w:szCs w:val="24"/>
                <w:lang w:eastAsia="es-VE"/>
              </w:rPr>
              <w:t>Fortalezas</w:t>
            </w:r>
            <w:proofErr w:type="spellEnd"/>
          </w:p>
        </w:tc>
        <w:tc>
          <w:tcPr>
            <w:tcW w:w="270" w:type="dxa"/>
            <w:tcBorders>
              <w:top w:val="nil"/>
              <w:bottom w:val="nil"/>
            </w:tcBorders>
            <w:shd w:val="clear" w:color="auto" w:fill="FFFFFF" w:themeFill="background1"/>
          </w:tcPr>
          <w:p w14:paraId="5C16F6FD" w14:textId="77777777" w:rsidR="00C60215" w:rsidRPr="00E73924" w:rsidRDefault="00C60215" w:rsidP="00AB14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222222"/>
                <w:sz w:val="24"/>
                <w:szCs w:val="24"/>
                <w:lang w:eastAsia="es-VE"/>
              </w:rPr>
            </w:pPr>
          </w:p>
        </w:tc>
        <w:tc>
          <w:tcPr>
            <w:tcW w:w="4680" w:type="dxa"/>
          </w:tcPr>
          <w:p w14:paraId="780E3E85" w14:textId="2D4F53C2" w:rsidR="00C60215" w:rsidRPr="00E73924" w:rsidRDefault="00C60215" w:rsidP="00AB141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eastAsia="es-VE"/>
              </w:rPr>
            </w:pPr>
            <w:proofErr w:type="spellStart"/>
            <w:r>
              <w:rPr>
                <w:rFonts w:ascii="Times New Roman" w:eastAsia="Times New Roman" w:hAnsi="Times New Roman" w:cs="Times New Roman"/>
                <w:color w:val="222222"/>
                <w:sz w:val="24"/>
                <w:szCs w:val="24"/>
                <w:lang w:eastAsia="es-VE"/>
              </w:rPr>
              <w:t>Debilidades</w:t>
            </w:r>
            <w:proofErr w:type="spellEnd"/>
          </w:p>
        </w:tc>
      </w:tr>
      <w:tr w:rsidR="00C60215" w:rsidRPr="00B65708" w14:paraId="1AC1B734" w14:textId="77777777" w:rsidTr="00AB1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5FB6A2C9" w14:textId="0FEB53DF" w:rsidR="00C60215" w:rsidRPr="00C60215" w:rsidRDefault="00C60215" w:rsidP="00AB141B">
            <w:pPr>
              <w:rPr>
                <w:rFonts w:ascii="Times New Roman" w:eastAsia="Times New Roman" w:hAnsi="Times New Roman" w:cs="Times New Roman"/>
                <w:b w:val="0"/>
                <w:bCs w:val="0"/>
                <w:color w:val="222222"/>
                <w:sz w:val="24"/>
                <w:szCs w:val="24"/>
                <w:lang w:val="es-VE" w:eastAsia="es-VE"/>
              </w:rPr>
            </w:pPr>
            <w:r w:rsidRPr="00C60215">
              <w:rPr>
                <w:rFonts w:ascii="Times New Roman" w:eastAsia="Times New Roman" w:hAnsi="Times New Roman" w:cs="Times New Roman"/>
                <w:b w:val="0"/>
                <w:bCs w:val="0"/>
                <w:color w:val="222222"/>
                <w:sz w:val="24"/>
                <w:szCs w:val="24"/>
                <w:lang w:val="es-VE" w:eastAsia="es-VE"/>
              </w:rPr>
              <w:t xml:space="preserve">• Los productos </w:t>
            </w:r>
            <w:proofErr w:type="spellStart"/>
            <w:r w:rsidRPr="00C60215">
              <w:rPr>
                <w:rFonts w:ascii="Times New Roman" w:eastAsia="Times New Roman" w:hAnsi="Times New Roman" w:cs="Times New Roman"/>
                <w:b w:val="0"/>
                <w:bCs w:val="0"/>
                <w:color w:val="222222"/>
                <w:sz w:val="24"/>
                <w:szCs w:val="24"/>
                <w:lang w:val="es-VE" w:eastAsia="es-VE"/>
              </w:rPr>
              <w:t>agricolas</w:t>
            </w:r>
            <w:proofErr w:type="spellEnd"/>
            <w:r w:rsidRPr="00C60215">
              <w:rPr>
                <w:rFonts w:ascii="Times New Roman" w:eastAsia="Times New Roman" w:hAnsi="Times New Roman" w:cs="Times New Roman"/>
                <w:b w:val="0"/>
                <w:bCs w:val="0"/>
                <w:color w:val="222222"/>
                <w:sz w:val="24"/>
                <w:szCs w:val="24"/>
                <w:lang w:val="es-VE" w:eastAsia="es-VE"/>
              </w:rPr>
              <w:t xml:space="preserve"> y los alimentos estadounidenses tienen una excelente reputación de calidad.</w:t>
            </w:r>
          </w:p>
          <w:p w14:paraId="7C8FF1F3" w14:textId="56578572" w:rsidR="00C60215" w:rsidRPr="0026071F" w:rsidRDefault="00C60215" w:rsidP="00AB141B">
            <w:pPr>
              <w:rPr>
                <w:rFonts w:ascii="Times New Roman" w:eastAsia="Times New Roman" w:hAnsi="Times New Roman" w:cs="Times New Roman"/>
                <w:b w:val="0"/>
                <w:bCs w:val="0"/>
                <w:color w:val="222222"/>
                <w:sz w:val="24"/>
                <w:szCs w:val="24"/>
                <w:lang w:val="es-VE" w:eastAsia="es-VE"/>
              </w:rPr>
            </w:pPr>
            <w:r w:rsidRPr="0026071F">
              <w:rPr>
                <w:rFonts w:ascii="Times New Roman" w:eastAsia="Times New Roman" w:hAnsi="Times New Roman" w:cs="Times New Roman"/>
                <w:b w:val="0"/>
                <w:bCs w:val="0"/>
                <w:color w:val="222222"/>
                <w:sz w:val="24"/>
                <w:szCs w:val="24"/>
                <w:lang w:val="es-VE" w:eastAsia="es-VE"/>
              </w:rPr>
              <w:t xml:space="preserve">• </w:t>
            </w:r>
            <w:r w:rsidR="0026071F" w:rsidRPr="0026071F">
              <w:rPr>
                <w:rFonts w:ascii="Times New Roman" w:eastAsia="Times New Roman" w:hAnsi="Times New Roman" w:cs="Times New Roman"/>
                <w:b w:val="0"/>
                <w:bCs w:val="0"/>
                <w:color w:val="222222"/>
                <w:sz w:val="24"/>
                <w:szCs w:val="24"/>
                <w:lang w:val="es-VE" w:eastAsia="es-VE"/>
              </w:rPr>
              <w:t xml:space="preserve">Los proveedores estadounidenses gozan de una gran reputación como </w:t>
            </w:r>
            <w:r w:rsidR="0026071F">
              <w:rPr>
                <w:rFonts w:ascii="Times New Roman" w:eastAsia="Times New Roman" w:hAnsi="Times New Roman" w:cs="Times New Roman"/>
                <w:b w:val="0"/>
                <w:bCs w:val="0"/>
                <w:color w:val="222222"/>
                <w:sz w:val="24"/>
                <w:szCs w:val="24"/>
                <w:lang w:val="es-VE" w:eastAsia="es-VE"/>
              </w:rPr>
              <w:t>suplidores</w:t>
            </w:r>
            <w:r w:rsidR="0026071F" w:rsidRPr="0026071F">
              <w:rPr>
                <w:rFonts w:ascii="Times New Roman" w:eastAsia="Times New Roman" w:hAnsi="Times New Roman" w:cs="Times New Roman"/>
                <w:b w:val="0"/>
                <w:bCs w:val="0"/>
                <w:color w:val="222222"/>
                <w:sz w:val="24"/>
                <w:szCs w:val="24"/>
                <w:lang w:val="es-VE" w:eastAsia="es-VE"/>
              </w:rPr>
              <w:t xml:space="preserve"> fiables en términos de volumen, </w:t>
            </w:r>
            <w:proofErr w:type="spellStart"/>
            <w:r w:rsidR="0026071F">
              <w:rPr>
                <w:rFonts w:ascii="Times New Roman" w:eastAsia="Times New Roman" w:hAnsi="Times New Roman" w:cs="Times New Roman"/>
                <w:b w:val="0"/>
                <w:bCs w:val="0"/>
                <w:color w:val="222222"/>
                <w:sz w:val="24"/>
                <w:szCs w:val="24"/>
                <w:lang w:val="es-VE" w:eastAsia="es-VE"/>
              </w:rPr>
              <w:t>estandares</w:t>
            </w:r>
            <w:proofErr w:type="spellEnd"/>
            <w:r w:rsidR="0026071F" w:rsidRPr="0026071F">
              <w:rPr>
                <w:rFonts w:ascii="Times New Roman" w:eastAsia="Times New Roman" w:hAnsi="Times New Roman" w:cs="Times New Roman"/>
                <w:b w:val="0"/>
                <w:bCs w:val="0"/>
                <w:color w:val="222222"/>
                <w:sz w:val="24"/>
                <w:szCs w:val="24"/>
                <w:lang w:val="es-VE" w:eastAsia="es-VE"/>
              </w:rPr>
              <w:t xml:space="preserve"> y valor.</w:t>
            </w:r>
          </w:p>
          <w:p w14:paraId="3941FDED" w14:textId="7338D7B1" w:rsidR="00C60215" w:rsidRPr="0026071F" w:rsidRDefault="00C60215" w:rsidP="00AB141B">
            <w:pPr>
              <w:rPr>
                <w:rFonts w:ascii="Times New Roman" w:eastAsia="Times New Roman" w:hAnsi="Times New Roman" w:cs="Times New Roman"/>
                <w:b w:val="0"/>
                <w:bCs w:val="0"/>
                <w:color w:val="222222"/>
                <w:sz w:val="24"/>
                <w:szCs w:val="24"/>
                <w:lang w:val="es-VE" w:eastAsia="es-VE"/>
              </w:rPr>
            </w:pPr>
            <w:r w:rsidRPr="0026071F">
              <w:rPr>
                <w:rFonts w:ascii="Times New Roman" w:eastAsia="Times New Roman" w:hAnsi="Times New Roman" w:cs="Times New Roman"/>
                <w:b w:val="0"/>
                <w:bCs w:val="0"/>
                <w:color w:val="222222"/>
                <w:sz w:val="24"/>
                <w:szCs w:val="24"/>
                <w:lang w:val="es-VE" w:eastAsia="es-VE"/>
              </w:rPr>
              <w:t xml:space="preserve">• </w:t>
            </w:r>
            <w:r w:rsidR="0026071F" w:rsidRPr="0026071F">
              <w:rPr>
                <w:rFonts w:ascii="Times New Roman" w:eastAsia="Times New Roman" w:hAnsi="Times New Roman" w:cs="Times New Roman"/>
                <w:b w:val="0"/>
                <w:bCs w:val="0"/>
                <w:color w:val="222222"/>
                <w:sz w:val="24"/>
                <w:szCs w:val="24"/>
                <w:lang w:val="es-VE" w:eastAsia="es-VE"/>
              </w:rPr>
              <w:t>El acceso cercano a los puertos estadounidenses de la Costa del Golfo ofrece una ventaja competitiva adicional.</w:t>
            </w:r>
          </w:p>
        </w:tc>
        <w:tc>
          <w:tcPr>
            <w:tcW w:w="270" w:type="dxa"/>
            <w:tcBorders>
              <w:top w:val="nil"/>
              <w:bottom w:val="nil"/>
            </w:tcBorders>
            <w:shd w:val="clear" w:color="auto" w:fill="FFFFFF" w:themeFill="background1"/>
          </w:tcPr>
          <w:p w14:paraId="33B7304F" w14:textId="77777777" w:rsidR="00C60215" w:rsidRPr="0026071F" w:rsidRDefault="00C60215" w:rsidP="00AB14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s-VE" w:eastAsia="es-VE"/>
              </w:rPr>
            </w:pPr>
          </w:p>
        </w:tc>
        <w:tc>
          <w:tcPr>
            <w:tcW w:w="4680" w:type="dxa"/>
          </w:tcPr>
          <w:p w14:paraId="15C51DEB" w14:textId="75557FA7" w:rsidR="00C60215" w:rsidRPr="00F91E25" w:rsidRDefault="00C60215" w:rsidP="00AB14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s-VE" w:eastAsia="es-VE"/>
              </w:rPr>
            </w:pPr>
            <w:r w:rsidRPr="00F91E25">
              <w:rPr>
                <w:rFonts w:ascii="Times New Roman" w:eastAsia="Times New Roman" w:hAnsi="Times New Roman" w:cs="Times New Roman"/>
                <w:b/>
                <w:bCs/>
                <w:color w:val="222222"/>
                <w:sz w:val="24"/>
                <w:szCs w:val="24"/>
                <w:lang w:val="es-VE" w:eastAsia="es-VE"/>
              </w:rPr>
              <w:t>•</w:t>
            </w:r>
            <w:r w:rsidRPr="00F91E25">
              <w:rPr>
                <w:rFonts w:ascii="Times New Roman" w:eastAsia="Times New Roman" w:hAnsi="Times New Roman" w:cs="Times New Roman"/>
                <w:color w:val="222222"/>
                <w:sz w:val="24"/>
                <w:szCs w:val="24"/>
                <w:lang w:val="es-VE" w:eastAsia="es-VE"/>
              </w:rPr>
              <w:t xml:space="preserve"> </w:t>
            </w:r>
            <w:r w:rsidR="00F91E25" w:rsidRPr="00F91E25">
              <w:rPr>
                <w:rFonts w:ascii="Times New Roman" w:eastAsia="Times New Roman" w:hAnsi="Times New Roman" w:cs="Times New Roman"/>
                <w:color w:val="222222"/>
                <w:sz w:val="24"/>
                <w:szCs w:val="24"/>
                <w:lang w:val="es-VE" w:eastAsia="es-VE"/>
              </w:rPr>
              <w:t>El volumen de las importaciones de productos de consumo</w:t>
            </w:r>
            <w:r w:rsidR="00F91E25">
              <w:rPr>
                <w:rFonts w:ascii="Times New Roman" w:eastAsia="Times New Roman" w:hAnsi="Times New Roman" w:cs="Times New Roman"/>
                <w:color w:val="222222"/>
                <w:sz w:val="24"/>
                <w:szCs w:val="24"/>
                <w:lang w:val="es-VE" w:eastAsia="es-VE"/>
              </w:rPr>
              <w:t xml:space="preserve"> final</w:t>
            </w:r>
            <w:r w:rsidR="00F91E25" w:rsidRPr="00F91E25">
              <w:rPr>
                <w:rFonts w:ascii="Times New Roman" w:eastAsia="Times New Roman" w:hAnsi="Times New Roman" w:cs="Times New Roman"/>
                <w:color w:val="222222"/>
                <w:sz w:val="24"/>
                <w:szCs w:val="24"/>
                <w:lang w:val="es-VE" w:eastAsia="es-VE"/>
              </w:rPr>
              <w:t xml:space="preserve"> sigue siendo bajo, y algunos distribuidores locales realizan compras relativamente pequeñas en Estados Unidos.</w:t>
            </w:r>
          </w:p>
          <w:p w14:paraId="46198455" w14:textId="36CA0662" w:rsidR="00C60215" w:rsidRPr="00F91E25" w:rsidRDefault="00C60215" w:rsidP="00AB14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s-VE" w:eastAsia="es-VE"/>
              </w:rPr>
            </w:pPr>
            <w:r w:rsidRPr="00F91E25">
              <w:rPr>
                <w:rFonts w:ascii="Times New Roman" w:eastAsia="Times New Roman" w:hAnsi="Times New Roman" w:cs="Times New Roman"/>
                <w:b/>
                <w:bCs/>
                <w:color w:val="222222"/>
                <w:sz w:val="24"/>
                <w:szCs w:val="24"/>
                <w:lang w:val="es-VE" w:eastAsia="es-VE"/>
              </w:rPr>
              <w:t>•</w:t>
            </w:r>
            <w:r w:rsidRPr="00F91E25">
              <w:rPr>
                <w:rFonts w:ascii="Times New Roman" w:eastAsia="Times New Roman" w:hAnsi="Times New Roman" w:cs="Times New Roman"/>
                <w:color w:val="222222"/>
                <w:sz w:val="24"/>
                <w:szCs w:val="24"/>
                <w:lang w:val="es-VE" w:eastAsia="es-VE"/>
              </w:rPr>
              <w:t xml:space="preserve"> </w:t>
            </w:r>
            <w:r w:rsidR="00F91E25" w:rsidRPr="00F91E25">
              <w:rPr>
                <w:rFonts w:ascii="Times New Roman" w:eastAsia="Times New Roman" w:hAnsi="Times New Roman" w:cs="Times New Roman"/>
                <w:color w:val="222222"/>
                <w:sz w:val="24"/>
                <w:szCs w:val="24"/>
                <w:lang w:val="es-VE" w:eastAsia="es-VE"/>
              </w:rPr>
              <w:t>No hay grandes distribuidores de productos estadounidenses.</w:t>
            </w:r>
          </w:p>
          <w:p w14:paraId="5BF6810D" w14:textId="4B23FF82" w:rsidR="00C60215" w:rsidRPr="00E8108F" w:rsidRDefault="00C60215" w:rsidP="00AB14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s-VE" w:eastAsia="es-VE"/>
              </w:rPr>
            </w:pPr>
            <w:r w:rsidRPr="00E8108F">
              <w:rPr>
                <w:rFonts w:ascii="Times New Roman" w:eastAsia="Times New Roman" w:hAnsi="Times New Roman" w:cs="Times New Roman"/>
                <w:b/>
                <w:bCs/>
                <w:color w:val="222222"/>
                <w:sz w:val="24"/>
                <w:szCs w:val="24"/>
                <w:lang w:val="es-VE" w:eastAsia="es-VE"/>
              </w:rPr>
              <w:t>•</w:t>
            </w:r>
            <w:r w:rsidRPr="00E8108F">
              <w:rPr>
                <w:rFonts w:ascii="Times New Roman" w:eastAsia="Times New Roman" w:hAnsi="Times New Roman" w:cs="Times New Roman"/>
                <w:color w:val="222222"/>
                <w:sz w:val="24"/>
                <w:szCs w:val="24"/>
                <w:lang w:val="es-VE" w:eastAsia="es-VE"/>
              </w:rPr>
              <w:t xml:space="preserve"> </w:t>
            </w:r>
            <w:r w:rsidR="00E8108F" w:rsidRPr="00E8108F">
              <w:rPr>
                <w:rFonts w:ascii="Times New Roman" w:eastAsia="Times New Roman" w:hAnsi="Times New Roman" w:cs="Times New Roman"/>
                <w:color w:val="222222"/>
                <w:sz w:val="24"/>
                <w:szCs w:val="24"/>
                <w:lang w:val="es-VE" w:eastAsia="es-VE"/>
              </w:rPr>
              <w:t>La proporción de compradores con alto poder adquisitivo, aunque estable, es relativamente pequeña.</w:t>
            </w:r>
          </w:p>
        </w:tc>
      </w:tr>
      <w:tr w:rsidR="00C60215" w:rsidRPr="00E73924" w14:paraId="1401CA6C" w14:textId="77777777" w:rsidTr="00AB141B">
        <w:tc>
          <w:tcPr>
            <w:cnfStyle w:val="001000000000" w:firstRow="0" w:lastRow="0" w:firstColumn="1" w:lastColumn="0" w:oddVBand="0" w:evenVBand="0" w:oddHBand="0" w:evenHBand="0" w:firstRowFirstColumn="0" w:firstRowLastColumn="0" w:lastRowFirstColumn="0" w:lastRowLastColumn="0"/>
            <w:tcW w:w="4410" w:type="dxa"/>
          </w:tcPr>
          <w:p w14:paraId="149DF373" w14:textId="3AA18428" w:rsidR="00C60215" w:rsidRPr="00E73924" w:rsidRDefault="00C60215" w:rsidP="00AB141B">
            <w:pPr>
              <w:rPr>
                <w:rFonts w:ascii="Times New Roman" w:eastAsia="Times New Roman" w:hAnsi="Times New Roman" w:cs="Times New Roman"/>
                <w:color w:val="222222"/>
                <w:sz w:val="24"/>
                <w:szCs w:val="24"/>
                <w:lang w:eastAsia="es-VE"/>
              </w:rPr>
            </w:pPr>
            <w:proofErr w:type="spellStart"/>
            <w:r>
              <w:rPr>
                <w:rFonts w:ascii="Times New Roman" w:eastAsia="Times New Roman" w:hAnsi="Times New Roman" w:cs="Times New Roman"/>
                <w:color w:val="222222"/>
                <w:sz w:val="24"/>
                <w:szCs w:val="24"/>
                <w:lang w:eastAsia="es-VE"/>
              </w:rPr>
              <w:t>Oportunidades</w:t>
            </w:r>
            <w:proofErr w:type="spellEnd"/>
          </w:p>
        </w:tc>
        <w:tc>
          <w:tcPr>
            <w:tcW w:w="270" w:type="dxa"/>
            <w:tcBorders>
              <w:top w:val="nil"/>
              <w:bottom w:val="nil"/>
            </w:tcBorders>
            <w:shd w:val="clear" w:color="auto" w:fill="FFFFFF" w:themeFill="background1"/>
          </w:tcPr>
          <w:p w14:paraId="0A91470A" w14:textId="77777777" w:rsidR="00C60215" w:rsidRPr="00E73924" w:rsidRDefault="00C60215" w:rsidP="00AB14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lang w:eastAsia="es-VE"/>
              </w:rPr>
            </w:pPr>
          </w:p>
        </w:tc>
        <w:tc>
          <w:tcPr>
            <w:tcW w:w="4680" w:type="dxa"/>
          </w:tcPr>
          <w:p w14:paraId="025F1052" w14:textId="4EE8946C" w:rsidR="00C60215" w:rsidRPr="00E73924" w:rsidRDefault="00C60215" w:rsidP="00AB14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222222"/>
                <w:sz w:val="24"/>
                <w:szCs w:val="24"/>
                <w:lang w:eastAsia="es-VE"/>
              </w:rPr>
            </w:pPr>
            <w:proofErr w:type="spellStart"/>
            <w:r>
              <w:rPr>
                <w:rFonts w:ascii="Times New Roman" w:eastAsia="Times New Roman" w:hAnsi="Times New Roman" w:cs="Times New Roman"/>
                <w:b/>
                <w:bCs/>
                <w:color w:val="222222"/>
                <w:sz w:val="24"/>
                <w:szCs w:val="24"/>
                <w:lang w:eastAsia="es-VE"/>
              </w:rPr>
              <w:t>Retos</w:t>
            </w:r>
            <w:proofErr w:type="spellEnd"/>
          </w:p>
        </w:tc>
      </w:tr>
      <w:tr w:rsidR="00C60215" w:rsidRPr="00B65708" w14:paraId="23BB66A9" w14:textId="77777777" w:rsidTr="00AB1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3BF404B" w14:textId="5A805ABD" w:rsidR="00C60215" w:rsidRPr="0026071F" w:rsidRDefault="00C60215" w:rsidP="00AB141B">
            <w:pPr>
              <w:rPr>
                <w:rFonts w:ascii="Times New Roman" w:eastAsia="Times New Roman" w:hAnsi="Times New Roman" w:cs="Times New Roman"/>
                <w:b w:val="0"/>
                <w:bCs w:val="0"/>
                <w:color w:val="222222"/>
                <w:sz w:val="24"/>
                <w:szCs w:val="24"/>
                <w:lang w:val="es-VE" w:eastAsia="es-VE"/>
              </w:rPr>
            </w:pPr>
            <w:r w:rsidRPr="0026071F">
              <w:rPr>
                <w:rFonts w:ascii="Times New Roman" w:eastAsia="Times New Roman" w:hAnsi="Times New Roman" w:cs="Times New Roman"/>
                <w:b w:val="0"/>
                <w:bCs w:val="0"/>
                <w:color w:val="222222"/>
                <w:sz w:val="24"/>
                <w:szCs w:val="24"/>
                <w:lang w:val="es-VE" w:eastAsia="es-VE"/>
              </w:rPr>
              <w:t xml:space="preserve">• </w:t>
            </w:r>
            <w:r w:rsidR="0026071F" w:rsidRPr="0026071F">
              <w:rPr>
                <w:rFonts w:ascii="Times New Roman" w:eastAsia="Times New Roman" w:hAnsi="Times New Roman" w:cs="Times New Roman"/>
                <w:b w:val="0"/>
                <w:bCs w:val="0"/>
                <w:color w:val="222222"/>
                <w:sz w:val="24"/>
                <w:szCs w:val="24"/>
                <w:lang w:val="es-VE" w:eastAsia="es-VE"/>
              </w:rPr>
              <w:t>La visibilidad de los productos estadounidenses está creciendo en los supermercados</w:t>
            </w:r>
            <w:r w:rsidR="0026071F">
              <w:rPr>
                <w:rFonts w:ascii="Times New Roman" w:eastAsia="Times New Roman" w:hAnsi="Times New Roman" w:cs="Times New Roman"/>
                <w:b w:val="0"/>
                <w:bCs w:val="0"/>
                <w:color w:val="222222"/>
                <w:sz w:val="24"/>
                <w:szCs w:val="24"/>
                <w:lang w:val="es-VE" w:eastAsia="es-VE"/>
              </w:rPr>
              <w:t>,</w:t>
            </w:r>
            <w:r w:rsidR="0026071F" w:rsidRPr="0026071F">
              <w:rPr>
                <w:rFonts w:ascii="Times New Roman" w:eastAsia="Times New Roman" w:hAnsi="Times New Roman" w:cs="Times New Roman"/>
                <w:b w:val="0"/>
                <w:bCs w:val="0"/>
                <w:color w:val="222222"/>
                <w:sz w:val="24"/>
                <w:szCs w:val="24"/>
                <w:lang w:val="es-VE" w:eastAsia="es-VE"/>
              </w:rPr>
              <w:t xml:space="preserve"> y en las tiendas de conveniencia y de alta gama.</w:t>
            </w:r>
          </w:p>
          <w:p w14:paraId="7B124A6B" w14:textId="7F7A5F78" w:rsidR="00C60215" w:rsidRPr="0026071F" w:rsidRDefault="00C60215" w:rsidP="00AB141B">
            <w:pPr>
              <w:rPr>
                <w:rFonts w:ascii="Times New Roman" w:eastAsia="Times New Roman" w:hAnsi="Times New Roman" w:cs="Times New Roman"/>
                <w:b w:val="0"/>
                <w:bCs w:val="0"/>
                <w:color w:val="222222"/>
                <w:sz w:val="24"/>
                <w:szCs w:val="24"/>
                <w:lang w:val="es-VE" w:eastAsia="es-VE"/>
              </w:rPr>
            </w:pPr>
            <w:r w:rsidRPr="0026071F">
              <w:rPr>
                <w:rFonts w:ascii="Times New Roman" w:eastAsia="Times New Roman" w:hAnsi="Times New Roman" w:cs="Times New Roman"/>
                <w:b w:val="0"/>
                <w:bCs w:val="0"/>
                <w:color w:val="222222"/>
                <w:sz w:val="24"/>
                <w:szCs w:val="24"/>
                <w:lang w:val="es-VE" w:eastAsia="es-VE"/>
              </w:rPr>
              <w:t xml:space="preserve">• </w:t>
            </w:r>
            <w:r w:rsidR="0026071F" w:rsidRPr="0026071F">
              <w:rPr>
                <w:rFonts w:ascii="Times New Roman" w:eastAsia="Times New Roman" w:hAnsi="Times New Roman" w:cs="Times New Roman"/>
                <w:b w:val="0"/>
                <w:bCs w:val="0"/>
                <w:color w:val="222222"/>
                <w:sz w:val="24"/>
                <w:szCs w:val="24"/>
                <w:lang w:val="es-VE" w:eastAsia="es-VE"/>
              </w:rPr>
              <w:t>Los bajos aranceles y las mínimas barreras técnicas permiten abordar el mercado con precios competitivos.</w:t>
            </w:r>
          </w:p>
          <w:p w14:paraId="07BDEE86" w14:textId="1310174F" w:rsidR="00C60215" w:rsidRPr="0026071F" w:rsidRDefault="00C60215" w:rsidP="00AB141B">
            <w:pPr>
              <w:rPr>
                <w:rFonts w:ascii="Times New Roman" w:eastAsia="Times New Roman" w:hAnsi="Times New Roman" w:cs="Times New Roman"/>
                <w:b w:val="0"/>
                <w:bCs w:val="0"/>
                <w:color w:val="222222"/>
                <w:sz w:val="24"/>
                <w:szCs w:val="24"/>
                <w:lang w:val="es-VE" w:eastAsia="es-VE"/>
              </w:rPr>
            </w:pPr>
            <w:r w:rsidRPr="0026071F">
              <w:rPr>
                <w:rFonts w:ascii="Times New Roman" w:eastAsia="Times New Roman" w:hAnsi="Times New Roman" w:cs="Times New Roman"/>
                <w:b w:val="0"/>
                <w:bCs w:val="0"/>
                <w:color w:val="222222"/>
                <w:sz w:val="24"/>
                <w:szCs w:val="24"/>
                <w:lang w:val="es-VE" w:eastAsia="es-VE"/>
              </w:rPr>
              <w:t xml:space="preserve">• </w:t>
            </w:r>
            <w:r w:rsidR="0026071F" w:rsidRPr="0026071F">
              <w:rPr>
                <w:rFonts w:ascii="Times New Roman" w:eastAsia="Times New Roman" w:hAnsi="Times New Roman" w:cs="Times New Roman"/>
                <w:b w:val="0"/>
                <w:bCs w:val="0"/>
                <w:color w:val="222222"/>
                <w:sz w:val="24"/>
                <w:szCs w:val="24"/>
                <w:lang w:val="es-VE" w:eastAsia="es-VE"/>
              </w:rPr>
              <w:t>Varios socios y cooperadores del USDA siguen trabajando y desarrollando su actividad en el mercado venezolano.</w:t>
            </w:r>
          </w:p>
        </w:tc>
        <w:tc>
          <w:tcPr>
            <w:tcW w:w="270" w:type="dxa"/>
            <w:tcBorders>
              <w:top w:val="nil"/>
              <w:bottom w:val="nil"/>
            </w:tcBorders>
            <w:shd w:val="clear" w:color="auto" w:fill="FFFFFF" w:themeFill="background1"/>
          </w:tcPr>
          <w:p w14:paraId="1C7443B4" w14:textId="77777777" w:rsidR="00C60215" w:rsidRPr="0026071F" w:rsidRDefault="00C60215" w:rsidP="00AB14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s-VE" w:eastAsia="es-VE"/>
              </w:rPr>
            </w:pPr>
          </w:p>
        </w:tc>
        <w:tc>
          <w:tcPr>
            <w:tcW w:w="4680" w:type="dxa"/>
          </w:tcPr>
          <w:p w14:paraId="33560CA2" w14:textId="7B1C1B4D" w:rsidR="00C60215" w:rsidRPr="00E8108F" w:rsidRDefault="00C60215" w:rsidP="00AB14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s-VE" w:eastAsia="es-VE"/>
              </w:rPr>
            </w:pPr>
            <w:r w:rsidRPr="00E8108F">
              <w:rPr>
                <w:rFonts w:ascii="Times New Roman" w:eastAsia="Times New Roman" w:hAnsi="Times New Roman" w:cs="Times New Roman"/>
                <w:b/>
                <w:bCs/>
                <w:color w:val="222222"/>
                <w:sz w:val="24"/>
                <w:szCs w:val="24"/>
                <w:lang w:val="es-VE" w:eastAsia="es-VE"/>
              </w:rPr>
              <w:t>•</w:t>
            </w:r>
            <w:r w:rsidRPr="00E8108F">
              <w:rPr>
                <w:rFonts w:ascii="Times New Roman" w:eastAsia="Times New Roman" w:hAnsi="Times New Roman" w:cs="Times New Roman"/>
                <w:color w:val="222222"/>
                <w:sz w:val="24"/>
                <w:szCs w:val="24"/>
                <w:lang w:val="es-VE" w:eastAsia="es-VE"/>
              </w:rPr>
              <w:t xml:space="preserve"> </w:t>
            </w:r>
            <w:r w:rsidR="00E8108F" w:rsidRPr="00E8108F">
              <w:rPr>
                <w:rFonts w:ascii="Times New Roman" w:eastAsia="Times New Roman" w:hAnsi="Times New Roman" w:cs="Times New Roman"/>
                <w:color w:val="222222"/>
                <w:sz w:val="24"/>
                <w:szCs w:val="24"/>
                <w:lang w:val="es-VE" w:eastAsia="es-VE"/>
              </w:rPr>
              <w:t>En el pasado, el gobierno ha impuesto controles de precios a los alimentos y productos agrícolas.</w:t>
            </w:r>
          </w:p>
          <w:p w14:paraId="072F7E31" w14:textId="64F7F526" w:rsidR="00C60215" w:rsidRPr="00E8108F" w:rsidRDefault="00C60215" w:rsidP="00AB14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s-VE" w:eastAsia="es-VE"/>
              </w:rPr>
            </w:pPr>
            <w:r w:rsidRPr="00E8108F">
              <w:rPr>
                <w:rFonts w:ascii="Times New Roman" w:eastAsia="Times New Roman" w:hAnsi="Times New Roman" w:cs="Times New Roman"/>
                <w:b/>
                <w:bCs/>
                <w:color w:val="222222"/>
                <w:sz w:val="24"/>
                <w:szCs w:val="24"/>
                <w:lang w:val="es-VE" w:eastAsia="es-VE"/>
              </w:rPr>
              <w:t>•</w:t>
            </w:r>
            <w:r w:rsidRPr="00E8108F">
              <w:rPr>
                <w:rFonts w:ascii="Times New Roman" w:eastAsia="Times New Roman" w:hAnsi="Times New Roman" w:cs="Times New Roman"/>
                <w:color w:val="222222"/>
                <w:sz w:val="24"/>
                <w:szCs w:val="24"/>
                <w:lang w:val="es-VE" w:eastAsia="es-VE"/>
              </w:rPr>
              <w:t xml:space="preserve"> </w:t>
            </w:r>
            <w:r w:rsidR="00E8108F" w:rsidRPr="00E8108F">
              <w:rPr>
                <w:rFonts w:ascii="Times New Roman" w:eastAsia="Times New Roman" w:hAnsi="Times New Roman" w:cs="Times New Roman"/>
                <w:color w:val="222222"/>
                <w:sz w:val="24"/>
                <w:szCs w:val="24"/>
                <w:lang w:val="es-VE" w:eastAsia="es-VE"/>
              </w:rPr>
              <w:t>La economía sigue siendo inestable, con una inflación elevada y un consumo estancado.</w:t>
            </w:r>
          </w:p>
          <w:p w14:paraId="4408E163" w14:textId="215DE17E" w:rsidR="00C60215" w:rsidRPr="00E8108F" w:rsidRDefault="00C60215" w:rsidP="00AB14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22222"/>
                <w:sz w:val="24"/>
                <w:szCs w:val="24"/>
                <w:lang w:val="es-VE" w:eastAsia="es-VE"/>
              </w:rPr>
            </w:pPr>
            <w:r w:rsidRPr="00E8108F">
              <w:rPr>
                <w:rFonts w:ascii="Times New Roman" w:eastAsia="Times New Roman" w:hAnsi="Times New Roman" w:cs="Times New Roman"/>
                <w:b/>
                <w:bCs/>
                <w:color w:val="222222"/>
                <w:sz w:val="24"/>
                <w:szCs w:val="24"/>
                <w:lang w:val="es-VE" w:eastAsia="es-VE"/>
              </w:rPr>
              <w:t>•</w:t>
            </w:r>
            <w:r w:rsidRPr="00E8108F">
              <w:rPr>
                <w:rFonts w:ascii="Times New Roman" w:eastAsia="Times New Roman" w:hAnsi="Times New Roman" w:cs="Times New Roman"/>
                <w:color w:val="222222"/>
                <w:sz w:val="24"/>
                <w:szCs w:val="24"/>
                <w:lang w:val="es-VE" w:eastAsia="es-VE"/>
              </w:rPr>
              <w:t xml:space="preserve"> </w:t>
            </w:r>
            <w:r w:rsidR="00E8108F" w:rsidRPr="00E8108F">
              <w:rPr>
                <w:rFonts w:ascii="Times New Roman" w:eastAsia="Times New Roman" w:hAnsi="Times New Roman" w:cs="Times New Roman"/>
                <w:color w:val="222222"/>
                <w:sz w:val="24"/>
                <w:szCs w:val="24"/>
                <w:lang w:val="es-VE" w:eastAsia="es-VE"/>
              </w:rPr>
              <w:t>El proceso de importación y registro de productos puede ser complejo.</w:t>
            </w:r>
          </w:p>
        </w:tc>
      </w:tr>
    </w:tbl>
    <w:p w14:paraId="675E371C" w14:textId="77777777" w:rsidR="00C60215" w:rsidRPr="00E8108F" w:rsidRDefault="00C60215" w:rsidP="00C60215">
      <w:pPr>
        <w:spacing w:after="0" w:line="240" w:lineRule="auto"/>
        <w:rPr>
          <w:rFonts w:ascii="Times New Roman" w:eastAsia="Times New Roman" w:hAnsi="Times New Roman" w:cs="Times New Roman"/>
          <w:color w:val="222222"/>
          <w:sz w:val="24"/>
          <w:szCs w:val="24"/>
          <w:lang w:val="es-VE" w:eastAsia="es-VE"/>
        </w:rPr>
      </w:pPr>
    </w:p>
    <w:p w14:paraId="24752595" w14:textId="77777777" w:rsidR="00C60215" w:rsidRPr="00E8108F" w:rsidRDefault="00C60215" w:rsidP="00C60215">
      <w:pPr>
        <w:spacing w:after="0" w:line="240" w:lineRule="auto"/>
        <w:rPr>
          <w:rFonts w:ascii="Times New Roman" w:eastAsia="Times New Roman" w:hAnsi="Times New Roman" w:cs="Times New Roman"/>
          <w:color w:val="222222"/>
          <w:sz w:val="24"/>
          <w:szCs w:val="24"/>
          <w:lang w:val="es-VE" w:eastAsia="es-VE"/>
        </w:rPr>
      </w:pPr>
    </w:p>
    <w:p w14:paraId="3D2F9AFF" w14:textId="323CFFF6" w:rsidR="00C60215" w:rsidRPr="00776172" w:rsidRDefault="00776172" w:rsidP="00C60215">
      <w:pPr>
        <w:spacing w:after="0" w:line="240" w:lineRule="auto"/>
        <w:rPr>
          <w:rFonts w:ascii="Times New Roman" w:eastAsia="Times New Roman" w:hAnsi="Times New Roman" w:cs="Times New Roman"/>
          <w:color w:val="222222"/>
          <w:sz w:val="24"/>
          <w:szCs w:val="24"/>
          <w:lang w:val="es-VE" w:eastAsia="es-VE"/>
        </w:rPr>
      </w:pPr>
      <w:r w:rsidRPr="00776172">
        <w:rPr>
          <w:rFonts w:ascii="Times New Roman" w:eastAsia="Times New Roman" w:hAnsi="Times New Roman" w:cs="Times New Roman"/>
          <w:color w:val="222222"/>
          <w:sz w:val="24"/>
          <w:szCs w:val="24"/>
          <w:lang w:val="es-VE" w:eastAsia="es-VE"/>
        </w:rPr>
        <w:t>Para más información sobre cómo exportar a Venezuela, consulte</w:t>
      </w:r>
      <w:r w:rsidR="00C60215" w:rsidRPr="00776172">
        <w:rPr>
          <w:rFonts w:ascii="Times New Roman" w:eastAsia="Times New Roman" w:hAnsi="Times New Roman" w:cs="Times New Roman"/>
          <w:color w:val="222222"/>
          <w:sz w:val="24"/>
          <w:szCs w:val="24"/>
          <w:lang w:val="es-VE" w:eastAsia="es-VE"/>
        </w:rPr>
        <w:t xml:space="preserve"> </w:t>
      </w:r>
      <w:hyperlink r:id="rId14" w:history="1">
        <w:r w:rsidR="00C60215" w:rsidRPr="00776172">
          <w:rPr>
            <w:rStyle w:val="Hyperlink"/>
            <w:rFonts w:ascii="Times New Roman" w:eastAsia="Times New Roman" w:hAnsi="Times New Roman" w:cs="Times New Roman"/>
            <w:sz w:val="24"/>
            <w:szCs w:val="24"/>
            <w:lang w:val="es-VE" w:eastAsia="es-VE"/>
          </w:rPr>
          <w:t xml:space="preserve">FAS </w:t>
        </w:r>
        <w:proofErr w:type="spellStart"/>
        <w:r w:rsidR="00C60215" w:rsidRPr="00776172">
          <w:rPr>
            <w:rStyle w:val="Hyperlink"/>
            <w:rFonts w:ascii="Times New Roman" w:eastAsia="Times New Roman" w:hAnsi="Times New Roman" w:cs="Times New Roman"/>
            <w:sz w:val="24"/>
            <w:szCs w:val="24"/>
            <w:lang w:val="es-VE" w:eastAsia="es-VE"/>
          </w:rPr>
          <w:t>Caracas's</w:t>
        </w:r>
        <w:proofErr w:type="spellEnd"/>
        <w:r w:rsidR="00C60215" w:rsidRPr="00776172">
          <w:rPr>
            <w:rStyle w:val="Hyperlink"/>
            <w:rFonts w:ascii="Times New Roman" w:eastAsia="Times New Roman" w:hAnsi="Times New Roman" w:cs="Times New Roman"/>
            <w:sz w:val="24"/>
            <w:szCs w:val="24"/>
            <w:lang w:val="es-VE" w:eastAsia="es-VE"/>
          </w:rPr>
          <w:t xml:space="preserve"> 2021 </w:t>
        </w:r>
        <w:proofErr w:type="spellStart"/>
        <w:r w:rsidR="00C60215" w:rsidRPr="00776172">
          <w:rPr>
            <w:rStyle w:val="Hyperlink"/>
            <w:rFonts w:ascii="Times New Roman" w:eastAsia="Times New Roman" w:hAnsi="Times New Roman" w:cs="Times New Roman"/>
            <w:sz w:val="24"/>
            <w:szCs w:val="24"/>
            <w:lang w:val="es-VE" w:eastAsia="es-VE"/>
          </w:rPr>
          <w:t>Food</w:t>
        </w:r>
        <w:proofErr w:type="spellEnd"/>
        <w:r w:rsidR="00C60215" w:rsidRPr="00776172">
          <w:rPr>
            <w:rStyle w:val="Hyperlink"/>
            <w:rFonts w:ascii="Times New Roman" w:eastAsia="Times New Roman" w:hAnsi="Times New Roman" w:cs="Times New Roman"/>
            <w:sz w:val="24"/>
            <w:szCs w:val="24"/>
            <w:lang w:val="es-VE" w:eastAsia="es-VE"/>
          </w:rPr>
          <w:t xml:space="preserve"> and </w:t>
        </w:r>
        <w:proofErr w:type="spellStart"/>
        <w:r w:rsidR="00C60215" w:rsidRPr="00776172">
          <w:rPr>
            <w:rStyle w:val="Hyperlink"/>
            <w:rFonts w:ascii="Times New Roman" w:eastAsia="Times New Roman" w:hAnsi="Times New Roman" w:cs="Times New Roman"/>
            <w:sz w:val="24"/>
            <w:szCs w:val="24"/>
            <w:lang w:val="es-VE" w:eastAsia="es-VE"/>
          </w:rPr>
          <w:t>Agricultural</w:t>
        </w:r>
        <w:proofErr w:type="spellEnd"/>
        <w:r w:rsidR="00C60215" w:rsidRPr="00776172">
          <w:rPr>
            <w:rStyle w:val="Hyperlink"/>
            <w:rFonts w:ascii="Times New Roman" w:eastAsia="Times New Roman" w:hAnsi="Times New Roman" w:cs="Times New Roman"/>
            <w:sz w:val="24"/>
            <w:szCs w:val="24"/>
            <w:lang w:val="es-VE" w:eastAsia="es-VE"/>
          </w:rPr>
          <w:t xml:space="preserve"> </w:t>
        </w:r>
        <w:proofErr w:type="spellStart"/>
        <w:r w:rsidR="00C60215" w:rsidRPr="00776172">
          <w:rPr>
            <w:rStyle w:val="Hyperlink"/>
            <w:rFonts w:ascii="Times New Roman" w:eastAsia="Times New Roman" w:hAnsi="Times New Roman" w:cs="Times New Roman"/>
            <w:sz w:val="24"/>
            <w:szCs w:val="24"/>
            <w:lang w:val="es-VE" w:eastAsia="es-VE"/>
          </w:rPr>
          <w:t>Import</w:t>
        </w:r>
        <w:proofErr w:type="spellEnd"/>
        <w:r w:rsidR="00C60215" w:rsidRPr="00776172">
          <w:rPr>
            <w:rStyle w:val="Hyperlink"/>
            <w:rFonts w:ascii="Times New Roman" w:eastAsia="Times New Roman" w:hAnsi="Times New Roman" w:cs="Times New Roman"/>
            <w:sz w:val="24"/>
            <w:szCs w:val="24"/>
            <w:lang w:val="es-VE" w:eastAsia="es-VE"/>
          </w:rPr>
          <w:t xml:space="preserve"> </w:t>
        </w:r>
        <w:proofErr w:type="spellStart"/>
        <w:r w:rsidR="00C60215" w:rsidRPr="00776172">
          <w:rPr>
            <w:rStyle w:val="Hyperlink"/>
            <w:rFonts w:ascii="Times New Roman" w:eastAsia="Times New Roman" w:hAnsi="Times New Roman" w:cs="Times New Roman"/>
            <w:sz w:val="24"/>
            <w:szCs w:val="24"/>
            <w:lang w:val="es-VE" w:eastAsia="es-VE"/>
          </w:rPr>
          <w:t>Regulations</w:t>
        </w:r>
        <w:proofErr w:type="spellEnd"/>
        <w:r w:rsidR="00C60215" w:rsidRPr="00776172">
          <w:rPr>
            <w:rStyle w:val="Hyperlink"/>
            <w:rFonts w:ascii="Times New Roman" w:eastAsia="Times New Roman" w:hAnsi="Times New Roman" w:cs="Times New Roman"/>
            <w:sz w:val="24"/>
            <w:szCs w:val="24"/>
            <w:lang w:val="es-VE" w:eastAsia="es-VE"/>
          </w:rPr>
          <w:t xml:space="preserve"> and </w:t>
        </w:r>
        <w:proofErr w:type="spellStart"/>
        <w:r w:rsidR="00C60215" w:rsidRPr="00776172">
          <w:rPr>
            <w:rStyle w:val="Hyperlink"/>
            <w:rFonts w:ascii="Times New Roman" w:eastAsia="Times New Roman" w:hAnsi="Times New Roman" w:cs="Times New Roman"/>
            <w:sz w:val="24"/>
            <w:szCs w:val="24"/>
            <w:lang w:val="es-VE" w:eastAsia="es-VE"/>
          </w:rPr>
          <w:t>Standards</w:t>
        </w:r>
        <w:proofErr w:type="spellEnd"/>
        <w:r w:rsidR="00C60215" w:rsidRPr="00776172">
          <w:rPr>
            <w:rStyle w:val="Hyperlink"/>
            <w:rFonts w:ascii="Times New Roman" w:eastAsia="Times New Roman" w:hAnsi="Times New Roman" w:cs="Times New Roman"/>
            <w:sz w:val="24"/>
            <w:szCs w:val="24"/>
            <w:lang w:val="es-VE" w:eastAsia="es-VE"/>
          </w:rPr>
          <w:t xml:space="preserve"> (FAIRS) Country </w:t>
        </w:r>
        <w:proofErr w:type="spellStart"/>
        <w:r w:rsidR="00C60215" w:rsidRPr="00776172">
          <w:rPr>
            <w:rStyle w:val="Hyperlink"/>
            <w:rFonts w:ascii="Times New Roman" w:eastAsia="Times New Roman" w:hAnsi="Times New Roman" w:cs="Times New Roman"/>
            <w:sz w:val="24"/>
            <w:szCs w:val="24"/>
            <w:lang w:val="es-VE" w:eastAsia="es-VE"/>
          </w:rPr>
          <w:t>Report</w:t>
        </w:r>
        <w:proofErr w:type="spellEnd"/>
      </w:hyperlink>
      <w:r w:rsidR="00C60215" w:rsidRPr="00776172">
        <w:rPr>
          <w:rFonts w:ascii="Times New Roman" w:eastAsia="Times New Roman" w:hAnsi="Times New Roman" w:cs="Times New Roman"/>
          <w:color w:val="222222"/>
          <w:sz w:val="24"/>
          <w:szCs w:val="24"/>
          <w:lang w:val="es-VE" w:eastAsia="es-VE"/>
        </w:rPr>
        <w:t>.</w:t>
      </w:r>
    </w:p>
    <w:p w14:paraId="665A089E" w14:textId="77777777" w:rsidR="00C60215" w:rsidRPr="00776172" w:rsidRDefault="00C60215" w:rsidP="00C60215">
      <w:pPr>
        <w:spacing w:after="0" w:line="240" w:lineRule="auto"/>
        <w:rPr>
          <w:rFonts w:ascii="Times New Roman" w:eastAsia="Times New Roman" w:hAnsi="Times New Roman" w:cs="Times New Roman"/>
          <w:color w:val="222222"/>
          <w:sz w:val="24"/>
          <w:szCs w:val="24"/>
          <w:lang w:val="es-VE" w:eastAsia="es-VE"/>
        </w:rPr>
      </w:pPr>
    </w:p>
    <w:p w14:paraId="077F4E3D" w14:textId="77777777" w:rsidR="00C60215" w:rsidRPr="00776172" w:rsidRDefault="00C60215" w:rsidP="003A70FB">
      <w:pPr>
        <w:spacing w:after="0" w:line="240" w:lineRule="auto"/>
        <w:jc w:val="both"/>
        <w:rPr>
          <w:rFonts w:ascii="Times New Roman" w:hAnsi="Times New Roman" w:cs="Times New Roman"/>
          <w:sz w:val="24"/>
          <w:szCs w:val="24"/>
          <w:lang w:val="es-VE"/>
        </w:rPr>
      </w:pPr>
    </w:p>
    <w:sectPr w:rsidR="00C60215" w:rsidRPr="00776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E5A1" w14:textId="77777777" w:rsidR="00A00D71" w:rsidRDefault="00A00D71" w:rsidP="00A00D71">
      <w:pPr>
        <w:spacing w:after="0" w:line="240" w:lineRule="auto"/>
      </w:pPr>
      <w:r>
        <w:separator/>
      </w:r>
    </w:p>
  </w:endnote>
  <w:endnote w:type="continuationSeparator" w:id="0">
    <w:p w14:paraId="28D43F87" w14:textId="77777777" w:rsidR="00A00D71" w:rsidRDefault="00A00D71" w:rsidP="00A0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00A6" w14:textId="77777777" w:rsidR="00A00D71" w:rsidRDefault="00A00D71" w:rsidP="00A00D71">
      <w:pPr>
        <w:spacing w:after="0" w:line="240" w:lineRule="auto"/>
      </w:pPr>
      <w:r>
        <w:separator/>
      </w:r>
    </w:p>
  </w:footnote>
  <w:footnote w:type="continuationSeparator" w:id="0">
    <w:p w14:paraId="0B32352A" w14:textId="77777777" w:rsidR="00A00D71" w:rsidRDefault="00A00D71" w:rsidP="00A00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NDKxtDQ3sbA0MbFU0lEKTi0uzszPAykwrwUAHzey7SwAAAA="/>
  </w:docVars>
  <w:rsids>
    <w:rsidRoot w:val="00B83B83"/>
    <w:rsid w:val="00014CE4"/>
    <w:rsid w:val="0002360C"/>
    <w:rsid w:val="00061482"/>
    <w:rsid w:val="000821E4"/>
    <w:rsid w:val="00083862"/>
    <w:rsid w:val="000963F2"/>
    <w:rsid w:val="000B47E4"/>
    <w:rsid w:val="000B5581"/>
    <w:rsid w:val="001106B1"/>
    <w:rsid w:val="0014472D"/>
    <w:rsid w:val="001D4A39"/>
    <w:rsid w:val="001F76D2"/>
    <w:rsid w:val="00214A7D"/>
    <w:rsid w:val="0022529D"/>
    <w:rsid w:val="00230029"/>
    <w:rsid w:val="00246B29"/>
    <w:rsid w:val="0026071F"/>
    <w:rsid w:val="002E340D"/>
    <w:rsid w:val="002E7B55"/>
    <w:rsid w:val="002F2D46"/>
    <w:rsid w:val="002F735F"/>
    <w:rsid w:val="003037AC"/>
    <w:rsid w:val="0034551B"/>
    <w:rsid w:val="00352138"/>
    <w:rsid w:val="003533CF"/>
    <w:rsid w:val="0036645F"/>
    <w:rsid w:val="003A70FB"/>
    <w:rsid w:val="003E5DC9"/>
    <w:rsid w:val="0040707D"/>
    <w:rsid w:val="00414477"/>
    <w:rsid w:val="00464BD7"/>
    <w:rsid w:val="0047314E"/>
    <w:rsid w:val="00473419"/>
    <w:rsid w:val="00491FB6"/>
    <w:rsid w:val="004A5DE7"/>
    <w:rsid w:val="00541488"/>
    <w:rsid w:val="0055004A"/>
    <w:rsid w:val="00591541"/>
    <w:rsid w:val="005A4087"/>
    <w:rsid w:val="005A7FB8"/>
    <w:rsid w:val="005D63F2"/>
    <w:rsid w:val="006063B8"/>
    <w:rsid w:val="00634720"/>
    <w:rsid w:val="00636140"/>
    <w:rsid w:val="00647F0B"/>
    <w:rsid w:val="006715A6"/>
    <w:rsid w:val="00684A81"/>
    <w:rsid w:val="00690700"/>
    <w:rsid w:val="007157AD"/>
    <w:rsid w:val="00722481"/>
    <w:rsid w:val="0074411A"/>
    <w:rsid w:val="00776172"/>
    <w:rsid w:val="00800F6F"/>
    <w:rsid w:val="0080719D"/>
    <w:rsid w:val="00835900"/>
    <w:rsid w:val="00890F9B"/>
    <w:rsid w:val="008A300B"/>
    <w:rsid w:val="008F00BF"/>
    <w:rsid w:val="00931D9F"/>
    <w:rsid w:val="00944B87"/>
    <w:rsid w:val="009752E5"/>
    <w:rsid w:val="009B2F2A"/>
    <w:rsid w:val="009C3E27"/>
    <w:rsid w:val="009F130C"/>
    <w:rsid w:val="009F247B"/>
    <w:rsid w:val="009F6C42"/>
    <w:rsid w:val="00A00D71"/>
    <w:rsid w:val="00A60F5C"/>
    <w:rsid w:val="00B11A37"/>
    <w:rsid w:val="00B23FC5"/>
    <w:rsid w:val="00B4024E"/>
    <w:rsid w:val="00B65708"/>
    <w:rsid w:val="00B83B83"/>
    <w:rsid w:val="00BC2B7F"/>
    <w:rsid w:val="00BD7F77"/>
    <w:rsid w:val="00C16ACD"/>
    <w:rsid w:val="00C3344E"/>
    <w:rsid w:val="00C36CF1"/>
    <w:rsid w:val="00C40871"/>
    <w:rsid w:val="00C40DEE"/>
    <w:rsid w:val="00C60215"/>
    <w:rsid w:val="00C61DDF"/>
    <w:rsid w:val="00C65C96"/>
    <w:rsid w:val="00C852D3"/>
    <w:rsid w:val="00C85E9D"/>
    <w:rsid w:val="00CA4CC3"/>
    <w:rsid w:val="00CC0F89"/>
    <w:rsid w:val="00CF7B92"/>
    <w:rsid w:val="00D179C4"/>
    <w:rsid w:val="00D47267"/>
    <w:rsid w:val="00D72812"/>
    <w:rsid w:val="00DB0EC1"/>
    <w:rsid w:val="00DD218E"/>
    <w:rsid w:val="00DE1DFA"/>
    <w:rsid w:val="00DF593F"/>
    <w:rsid w:val="00DF6644"/>
    <w:rsid w:val="00E14CC0"/>
    <w:rsid w:val="00E36C58"/>
    <w:rsid w:val="00E529C8"/>
    <w:rsid w:val="00E536B7"/>
    <w:rsid w:val="00E570B0"/>
    <w:rsid w:val="00E5768A"/>
    <w:rsid w:val="00E7092F"/>
    <w:rsid w:val="00E8108F"/>
    <w:rsid w:val="00EA4F62"/>
    <w:rsid w:val="00EC3DF9"/>
    <w:rsid w:val="00F439F6"/>
    <w:rsid w:val="00F64681"/>
    <w:rsid w:val="00F77F62"/>
    <w:rsid w:val="00F800FD"/>
    <w:rsid w:val="00F876FB"/>
    <w:rsid w:val="00F91E25"/>
    <w:rsid w:val="00FA4524"/>
    <w:rsid w:val="00FB045B"/>
    <w:rsid w:val="00FC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4D039"/>
  <w15:chartTrackingRefBased/>
  <w15:docId w15:val="{C0B333F3-9686-46FB-95EE-3BB5D152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36B7"/>
    <w:pPr>
      <w:spacing w:after="0" w:line="240" w:lineRule="auto"/>
    </w:pPr>
  </w:style>
  <w:style w:type="table" w:styleId="GridTable4-Accent3">
    <w:name w:val="Grid Table 4 Accent 3"/>
    <w:basedOn w:val="TableNormal"/>
    <w:uiPriority w:val="49"/>
    <w:rsid w:val="0063472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60215"/>
    <w:rPr>
      <w:color w:val="0563C1" w:themeColor="hyperlink"/>
      <w:u w:val="single"/>
    </w:rPr>
  </w:style>
  <w:style w:type="table" w:styleId="ListTable6Colorful-Accent3">
    <w:name w:val="List Table 6 Colorful Accent 3"/>
    <w:basedOn w:val="TableNormal"/>
    <w:uiPriority w:val="51"/>
    <w:rsid w:val="00C6021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hyperlink" Target="https://apps.fas.usda.gov/newgainapi/api/Report/DownloadReportByFileName?fileName=FAIRS%20Annual%20Country%20Report%20Annual_Caracas_Venezuela_12-31-202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Importaciones Agricolas Totales</c:v>
                </c:pt>
              </c:strCache>
            </c:strRef>
          </c:tx>
          <c:spPr>
            <a:ln w="28575" cap="rnd">
              <a:solidFill>
                <a:srgbClr val="002060"/>
              </a:solidFill>
              <a:round/>
            </a:ln>
            <a:effectLst/>
          </c:spPr>
          <c:marker>
            <c:symbol val="none"/>
          </c:marker>
          <c:dLbls>
            <c:dLbl>
              <c:idx val="0"/>
              <c:layout>
                <c:manualLayout>
                  <c:x val="-2.0254629629629629E-2"/>
                  <c:y val="3.0998775550331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71-4077-A216-20307276F04D}"/>
                </c:ext>
              </c:extLst>
            </c:dLbl>
            <c:dLbl>
              <c:idx val="1"/>
              <c:layout>
                <c:manualLayout>
                  <c:x val="-5.2662037037037035E-2"/>
                  <c:y val="-7.34280121908711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71-4077-A216-20307276F04D}"/>
                </c:ext>
              </c:extLst>
            </c:dLbl>
            <c:dLbl>
              <c:idx val="2"/>
              <c:layout>
                <c:manualLayout>
                  <c:x val="-4.1087962962963007E-2"/>
                  <c:y val="7.18614316229767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771-4077-A216-20307276F04D}"/>
                </c:ext>
              </c:extLst>
            </c:dLbl>
            <c:dLbl>
              <c:idx val="3"/>
              <c:layout>
                <c:manualLayout>
                  <c:x val="-2.4884259259259259E-2"/>
                  <c:y val="-5.52668317141401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71-4077-A216-20307276F04D}"/>
                </c:ext>
              </c:extLst>
            </c:dLbl>
            <c:dLbl>
              <c:idx val="4"/>
              <c:layout>
                <c:manualLayout>
                  <c:x val="-7.5810185185185189E-2"/>
                  <c:y val="8.54823169805249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771-4077-A216-20307276F04D}"/>
                </c:ext>
              </c:extLst>
            </c:dLbl>
            <c:dLbl>
              <c:idx val="5"/>
              <c:layout>
                <c:manualLayout>
                  <c:x val="-1.7939814814814815E-2"/>
                  <c:y val="-5.9807126833322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71-4077-A216-20307276F04D}"/>
                </c:ext>
              </c:extLst>
            </c:dLbl>
            <c:dLbl>
              <c:idx val="6"/>
              <c:layout>
                <c:manualLayout>
                  <c:x val="-3.1828703703703706E-2"/>
                  <c:y val="-0.1097503731443331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771-4077-A216-20307276F04D}"/>
                </c:ext>
              </c:extLst>
            </c:dLbl>
            <c:dLbl>
              <c:idx val="7"/>
              <c:layout>
                <c:manualLayout>
                  <c:x val="-3.6458333333333336E-2"/>
                  <c:y val="-9.1589192667602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71-4077-A216-20307276F04D}"/>
                </c:ext>
              </c:extLst>
            </c:dLbl>
            <c:dLbl>
              <c:idx val="8"/>
              <c:layout>
                <c:manualLayout>
                  <c:x val="-5.0347222222222224E-2"/>
                  <c:y val="6.73211365037939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771-4077-A216-20307276F04D}"/>
                </c:ext>
              </c:extLst>
            </c:dLbl>
            <c:dLbl>
              <c:idx val="9"/>
              <c:layout>
                <c:manualLayout>
                  <c:x val="-4.5717592592592594E-2"/>
                  <c:y val="-0.1142906682635159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71-4077-A216-20307276F04D}"/>
                </c:ext>
              </c:extLst>
            </c:dLbl>
            <c:dLbl>
              <c:idx val="10"/>
              <c:layout>
                <c:manualLayout>
                  <c:x val="-3.6458333333333336E-2"/>
                  <c:y val="6.2780841384611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771-4077-A216-20307276F04D}"/>
                </c:ext>
              </c:extLst>
            </c:dLbl>
            <c:dLbl>
              <c:idx val="11"/>
              <c:layout>
                <c:manualLayout>
                  <c:x val="-5.2854877515310587E-2"/>
                  <c:y val="-7.34280121908711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71-4077-A216-20307276F0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Sheet1!$B$2:$B$13</c:f>
              <c:numCache>
                <c:formatCode>_(* #,##0_);_(* \(#,##0\);_(* "-"_);_(@_)</c:formatCode>
                <c:ptCount val="12"/>
                <c:pt idx="0">
                  <c:v>6233.2050743013151</c:v>
                </c:pt>
                <c:pt idx="1">
                  <c:v>7690.2374542079669</c:v>
                </c:pt>
                <c:pt idx="2">
                  <c:v>8812.1433336344562</c:v>
                </c:pt>
                <c:pt idx="3">
                  <c:v>9364.6492578745492</c:v>
                </c:pt>
                <c:pt idx="4">
                  <c:v>8860.9029359934793</c:v>
                </c:pt>
                <c:pt idx="5">
                  <c:v>5550.028233461403</c:v>
                </c:pt>
                <c:pt idx="6">
                  <c:v>2923.23787089598</c:v>
                </c:pt>
                <c:pt idx="7">
                  <c:v>2382.8567734079652</c:v>
                </c:pt>
                <c:pt idx="8">
                  <c:v>2390.4540535408591</c:v>
                </c:pt>
                <c:pt idx="9">
                  <c:v>1327.9683385752373</c:v>
                </c:pt>
                <c:pt idx="10">
                  <c:v>1850.9026058815068</c:v>
                </c:pt>
                <c:pt idx="11">
                  <c:v>2463.3549492201896</c:v>
                </c:pt>
              </c:numCache>
            </c:numRef>
          </c:val>
          <c:smooth val="0"/>
          <c:extLst>
            <c:ext xmlns:c16="http://schemas.microsoft.com/office/drawing/2014/chart" uri="{C3380CC4-5D6E-409C-BE32-E72D297353CC}">
              <c16:uniqueId val="{0000000C-5771-4077-A216-20307276F04D}"/>
            </c:ext>
          </c:extLst>
        </c:ser>
        <c:dLbls>
          <c:showLegendKey val="0"/>
          <c:showVal val="0"/>
          <c:showCatName val="0"/>
          <c:showSerName val="0"/>
          <c:showPercent val="0"/>
          <c:showBubbleSize val="0"/>
        </c:dLbls>
        <c:smooth val="0"/>
        <c:axId val="739560079"/>
        <c:axId val="739564655"/>
      </c:lineChart>
      <c:catAx>
        <c:axId val="73956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9564655"/>
        <c:crosses val="autoZero"/>
        <c:auto val="1"/>
        <c:lblAlgn val="ctr"/>
        <c:lblOffset val="100"/>
        <c:noMultiLvlLbl val="0"/>
      </c:catAx>
      <c:valAx>
        <c:axId val="739564655"/>
        <c:scaling>
          <c:orientation val="minMax"/>
        </c:scaling>
        <c:delete val="1"/>
        <c:axPos val="l"/>
        <c:numFmt formatCode="_(* #,##0_);_(* \(#,##0\);_(* &quot;-&quot;_);_(@_)" sourceLinked="1"/>
        <c:majorTickMark val="none"/>
        <c:minorTickMark val="none"/>
        <c:tickLblPos val="nextTo"/>
        <c:crossAx val="739560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Productos Intermedios</c:v>
                </c:pt>
              </c:strCache>
            </c:strRef>
          </c:tx>
          <c:spPr>
            <a:solidFill>
              <a:srgbClr val="2980B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Global</c:v>
                </c:pt>
                <c:pt idx="1">
                  <c:v>U.S.A.</c:v>
                </c:pt>
              </c:strCache>
            </c:strRef>
          </c:cat>
          <c:val>
            <c:numRef>
              <c:f>Sheet1!$B$2:$B$3</c:f>
              <c:numCache>
                <c:formatCode>0.00%</c:formatCode>
                <c:ptCount val="2"/>
                <c:pt idx="0">
                  <c:v>0.38800000000000001</c:v>
                </c:pt>
                <c:pt idx="1">
                  <c:v>0.497</c:v>
                </c:pt>
              </c:numCache>
            </c:numRef>
          </c:val>
          <c:extLst>
            <c:ext xmlns:c16="http://schemas.microsoft.com/office/drawing/2014/chart" uri="{C3380CC4-5D6E-409C-BE32-E72D297353CC}">
              <c16:uniqueId val="{00000000-064D-4521-9F19-F029E5F6353B}"/>
            </c:ext>
          </c:extLst>
        </c:ser>
        <c:ser>
          <c:idx val="1"/>
          <c:order val="1"/>
          <c:tx>
            <c:strRef>
              <c:f>Sheet1!$C$1</c:f>
              <c:strCache>
                <c:ptCount val="1"/>
                <c:pt idx="0">
                  <c:v>Productos de Consumo Final</c:v>
                </c:pt>
              </c:strCache>
            </c:strRef>
          </c:tx>
          <c:spPr>
            <a:solidFill>
              <a:srgbClr val="1BBC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Global</c:v>
                </c:pt>
                <c:pt idx="1">
                  <c:v>U.S.A.</c:v>
                </c:pt>
              </c:strCache>
            </c:strRef>
          </c:cat>
          <c:val>
            <c:numRef>
              <c:f>Sheet1!$C$2:$C$3</c:f>
              <c:numCache>
                <c:formatCode>0.00%</c:formatCode>
                <c:ptCount val="2"/>
                <c:pt idx="0">
                  <c:v>0.30199999999999999</c:v>
                </c:pt>
                <c:pt idx="1">
                  <c:v>0.34599999999999997</c:v>
                </c:pt>
              </c:numCache>
            </c:numRef>
          </c:val>
          <c:extLst>
            <c:ext xmlns:c16="http://schemas.microsoft.com/office/drawing/2014/chart" uri="{C3380CC4-5D6E-409C-BE32-E72D297353CC}">
              <c16:uniqueId val="{00000001-064D-4521-9F19-F029E5F6353B}"/>
            </c:ext>
          </c:extLst>
        </c:ser>
        <c:ser>
          <c:idx val="2"/>
          <c:order val="2"/>
          <c:tx>
            <c:strRef>
              <c:f>Sheet1!$D$1</c:f>
              <c:strCache>
                <c:ptCount val="1"/>
                <c:pt idx="0">
                  <c:v>Productos a Granel</c:v>
                </c:pt>
              </c:strCache>
            </c:strRef>
          </c:tx>
          <c:spPr>
            <a:solidFill>
              <a:srgbClr val="DE4A3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Global</c:v>
                </c:pt>
                <c:pt idx="1">
                  <c:v>U.S.A.</c:v>
                </c:pt>
              </c:strCache>
            </c:strRef>
          </c:cat>
          <c:val>
            <c:numRef>
              <c:f>Sheet1!$D$2:$D$3</c:f>
              <c:numCache>
                <c:formatCode>0.00%</c:formatCode>
                <c:ptCount val="2"/>
                <c:pt idx="0">
                  <c:v>0.29199999999999998</c:v>
                </c:pt>
                <c:pt idx="1">
                  <c:v>0.152</c:v>
                </c:pt>
              </c:numCache>
            </c:numRef>
          </c:val>
          <c:extLst>
            <c:ext xmlns:c16="http://schemas.microsoft.com/office/drawing/2014/chart" uri="{C3380CC4-5D6E-409C-BE32-E72D297353CC}">
              <c16:uniqueId val="{00000002-064D-4521-9F19-F029E5F6353B}"/>
            </c:ext>
          </c:extLst>
        </c:ser>
        <c:ser>
          <c:idx val="3"/>
          <c:order val="3"/>
          <c:tx>
            <c:strRef>
              <c:f>Sheet1!$E$1</c:f>
              <c:strCache>
                <c:ptCount val="1"/>
                <c:pt idx="0">
                  <c:v>Productos Relacionados a Agricultura</c:v>
                </c:pt>
              </c:strCache>
            </c:strRef>
          </c:tx>
          <c:spPr>
            <a:solidFill>
              <a:schemeClr val="accent4"/>
            </a:solidFill>
            <a:ln>
              <a:noFill/>
            </a:ln>
            <a:effectLst/>
          </c:spPr>
          <c:invertIfNegative val="0"/>
          <c:dLbls>
            <c:dLbl>
              <c:idx val="0"/>
              <c:layout>
                <c:manualLayout>
                  <c:x val="-0.18287037037037038"/>
                  <c:y val="0"/>
                </c:manualLayout>
              </c:layout>
              <c:tx>
                <c:rich>
                  <a:bodyPr/>
                  <a:lstStyle/>
                  <a:p>
                    <a:fld id="{3327E8C6-FFEB-4D75-914D-94548D4B413D}" type="VALUE">
                      <a:rPr lang="en-US" baseline="0"/>
                      <a:pPr/>
                      <a:t>[VALUE]</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64D-4521-9F19-F029E5F6353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Sheet1!$A$2:$A$3</c:f>
              <c:strCache>
                <c:ptCount val="2"/>
                <c:pt idx="0">
                  <c:v>Global</c:v>
                </c:pt>
                <c:pt idx="1">
                  <c:v>U.S.A.</c:v>
                </c:pt>
              </c:strCache>
            </c:strRef>
          </c:cat>
          <c:val>
            <c:numRef>
              <c:f>Sheet1!$E$2:$E$3</c:f>
              <c:numCache>
                <c:formatCode>General</c:formatCode>
                <c:ptCount val="2"/>
                <c:pt idx="0" formatCode="0.00%">
                  <c:v>1.7999999999999999E-2</c:v>
                </c:pt>
              </c:numCache>
            </c:numRef>
          </c:val>
          <c:extLst>
            <c:ext xmlns:c16="http://schemas.microsoft.com/office/drawing/2014/chart" uri="{C3380CC4-5D6E-409C-BE32-E72D297353CC}">
              <c16:uniqueId val="{00000004-064D-4521-9F19-F029E5F6353B}"/>
            </c:ext>
          </c:extLst>
        </c:ser>
        <c:dLbls>
          <c:showLegendKey val="0"/>
          <c:showVal val="0"/>
          <c:showCatName val="0"/>
          <c:showSerName val="0"/>
          <c:showPercent val="0"/>
          <c:showBubbleSize val="0"/>
        </c:dLbls>
        <c:gapWidth val="150"/>
        <c:overlap val="100"/>
        <c:axId val="1323067903"/>
        <c:axId val="1323050847"/>
      </c:barChart>
      <c:catAx>
        <c:axId val="1323067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23050847"/>
        <c:crosses val="autoZero"/>
        <c:auto val="1"/>
        <c:lblAlgn val="ctr"/>
        <c:lblOffset val="100"/>
        <c:noMultiLvlLbl val="0"/>
      </c:catAx>
      <c:valAx>
        <c:axId val="1323050847"/>
        <c:scaling>
          <c:orientation val="minMax"/>
        </c:scaling>
        <c:delete val="1"/>
        <c:axPos val="l"/>
        <c:numFmt formatCode="0%" sourceLinked="1"/>
        <c:majorTickMark val="none"/>
        <c:minorTickMark val="none"/>
        <c:tickLblPos val="nextTo"/>
        <c:crossAx val="1323067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Sheet1!$A$2</c:f>
              <c:strCache>
                <c:ptCount val="1"/>
                <c:pt idx="0">
                  <c:v>Granel</c:v>
                </c:pt>
              </c:strCache>
            </c:strRef>
          </c:tx>
          <c:spPr>
            <a:solidFill>
              <a:srgbClr val="2980B9"/>
            </a:solidFill>
            <a:ln w="12700">
              <a:noFill/>
            </a:ln>
            <a:effectLst/>
          </c:spPr>
          <c:cat>
            <c:strRef>
              <c:f>Sheet1!$B$1:$G$1</c:f>
              <c:strCache>
                <c:ptCount val="6"/>
                <c:pt idx="0">
                  <c:v>2016</c:v>
                </c:pt>
                <c:pt idx="1">
                  <c:v>2017</c:v>
                </c:pt>
                <c:pt idx="2">
                  <c:v>2018</c:v>
                </c:pt>
                <c:pt idx="3">
                  <c:v>2019</c:v>
                </c:pt>
                <c:pt idx="4">
                  <c:v>2020</c:v>
                </c:pt>
                <c:pt idx="5">
                  <c:v>2021</c:v>
                </c:pt>
              </c:strCache>
            </c:strRef>
          </c:cat>
          <c:val>
            <c:numRef>
              <c:f>Sheet1!$B$2:$G$2</c:f>
              <c:numCache>
                <c:formatCode>_(* #,##0_);_(* \(#,##0\);_(* "-"??_);_(@_)</c:formatCode>
                <c:ptCount val="6"/>
                <c:pt idx="0">
                  <c:v>837.9187548285679</c:v>
                </c:pt>
                <c:pt idx="1">
                  <c:v>837.30792713144285</c:v>
                </c:pt>
                <c:pt idx="2">
                  <c:v>1081.5722756394971</c:v>
                </c:pt>
                <c:pt idx="3">
                  <c:v>501.26249271738499</c:v>
                </c:pt>
                <c:pt idx="4">
                  <c:v>609.10854119446708</c:v>
                </c:pt>
                <c:pt idx="5">
                  <c:v>720.3636432028859</c:v>
                </c:pt>
              </c:numCache>
            </c:numRef>
          </c:val>
          <c:extLst>
            <c:ext xmlns:c16="http://schemas.microsoft.com/office/drawing/2014/chart" uri="{C3380CC4-5D6E-409C-BE32-E72D297353CC}">
              <c16:uniqueId val="{00000000-A187-4747-8E02-AB22FCC08561}"/>
            </c:ext>
          </c:extLst>
        </c:ser>
        <c:ser>
          <c:idx val="1"/>
          <c:order val="1"/>
          <c:tx>
            <c:strRef>
              <c:f>Sheet1!$A$3</c:f>
              <c:strCache>
                <c:ptCount val="1"/>
                <c:pt idx="0">
                  <c:v>Intermedios</c:v>
                </c:pt>
              </c:strCache>
            </c:strRef>
          </c:tx>
          <c:spPr>
            <a:solidFill>
              <a:srgbClr val="1BBC9B"/>
            </a:solidFill>
            <a:ln w="12700">
              <a:noFill/>
            </a:ln>
            <a:effectLst/>
          </c:spPr>
          <c:cat>
            <c:strRef>
              <c:f>Sheet1!$B$1:$G$1</c:f>
              <c:strCache>
                <c:ptCount val="6"/>
                <c:pt idx="0">
                  <c:v>2016</c:v>
                </c:pt>
                <c:pt idx="1">
                  <c:v>2017</c:v>
                </c:pt>
                <c:pt idx="2">
                  <c:v>2018</c:v>
                </c:pt>
                <c:pt idx="3">
                  <c:v>2019</c:v>
                </c:pt>
                <c:pt idx="4">
                  <c:v>2020</c:v>
                </c:pt>
                <c:pt idx="5">
                  <c:v>2021</c:v>
                </c:pt>
              </c:strCache>
            </c:strRef>
          </c:cat>
          <c:val>
            <c:numRef>
              <c:f>Sheet1!$B$3:$G$3</c:f>
              <c:numCache>
                <c:formatCode>_(* #,##0_);_(* \(#,##0\);_(* "-"??_);_(@_)</c:formatCode>
                <c:ptCount val="6"/>
                <c:pt idx="0">
                  <c:v>972.96005716919501</c:v>
                </c:pt>
                <c:pt idx="1">
                  <c:v>792.26627987960194</c:v>
                </c:pt>
                <c:pt idx="2">
                  <c:v>756.34258954356994</c:v>
                </c:pt>
                <c:pt idx="3">
                  <c:v>467.9859349874352</c:v>
                </c:pt>
                <c:pt idx="4">
                  <c:v>736.82128657818203</c:v>
                </c:pt>
                <c:pt idx="5">
                  <c:v>955.81686931416334</c:v>
                </c:pt>
              </c:numCache>
            </c:numRef>
          </c:val>
          <c:extLst>
            <c:ext xmlns:c16="http://schemas.microsoft.com/office/drawing/2014/chart" uri="{C3380CC4-5D6E-409C-BE32-E72D297353CC}">
              <c16:uniqueId val="{00000001-A187-4747-8E02-AB22FCC08561}"/>
            </c:ext>
          </c:extLst>
        </c:ser>
        <c:ser>
          <c:idx val="2"/>
          <c:order val="2"/>
          <c:tx>
            <c:strRef>
              <c:f>Sheet1!$A$4</c:f>
              <c:strCache>
                <c:ptCount val="1"/>
                <c:pt idx="0">
                  <c:v>Consumo Final</c:v>
                </c:pt>
              </c:strCache>
            </c:strRef>
          </c:tx>
          <c:spPr>
            <a:solidFill>
              <a:srgbClr val="DE4A3B"/>
            </a:solidFill>
            <a:ln w="12700">
              <a:noFill/>
            </a:ln>
            <a:effectLst/>
          </c:spPr>
          <c:cat>
            <c:strRef>
              <c:f>Sheet1!$B$1:$G$1</c:f>
              <c:strCache>
                <c:ptCount val="6"/>
                <c:pt idx="0">
                  <c:v>2016</c:v>
                </c:pt>
                <c:pt idx="1">
                  <c:v>2017</c:v>
                </c:pt>
                <c:pt idx="2">
                  <c:v>2018</c:v>
                </c:pt>
                <c:pt idx="3">
                  <c:v>2019</c:v>
                </c:pt>
                <c:pt idx="4">
                  <c:v>2020</c:v>
                </c:pt>
                <c:pt idx="5">
                  <c:v>2021</c:v>
                </c:pt>
              </c:strCache>
            </c:strRef>
          </c:cat>
          <c:val>
            <c:numRef>
              <c:f>Sheet1!$B$4:$G$4</c:f>
              <c:numCache>
                <c:formatCode>_(* #,##0_);_(* \(#,##0\);_(* "-"??_);_(@_)</c:formatCode>
                <c:ptCount val="6"/>
                <c:pt idx="0">
                  <c:v>1054.8813238471489</c:v>
                </c:pt>
                <c:pt idx="1">
                  <c:v>631.35489611841615</c:v>
                </c:pt>
                <c:pt idx="2">
                  <c:v>478.3557641028367</c:v>
                </c:pt>
                <c:pt idx="3">
                  <c:v>294.65575807126402</c:v>
                </c:pt>
                <c:pt idx="4">
                  <c:v>463.41778938062885</c:v>
                </c:pt>
                <c:pt idx="5">
                  <c:v>743.92161689349632</c:v>
                </c:pt>
              </c:numCache>
            </c:numRef>
          </c:val>
          <c:extLst>
            <c:ext xmlns:c16="http://schemas.microsoft.com/office/drawing/2014/chart" uri="{C3380CC4-5D6E-409C-BE32-E72D297353CC}">
              <c16:uniqueId val="{00000002-A187-4747-8E02-AB22FCC08561}"/>
            </c:ext>
          </c:extLst>
        </c:ser>
        <c:ser>
          <c:idx val="3"/>
          <c:order val="3"/>
          <c:tx>
            <c:strRef>
              <c:f>Sheet1!$A$5</c:f>
              <c:strCache>
                <c:ptCount val="1"/>
                <c:pt idx="0">
                  <c:v>Relacionados</c:v>
                </c:pt>
              </c:strCache>
            </c:strRef>
          </c:tx>
          <c:spPr>
            <a:solidFill>
              <a:srgbClr val="FFCD02"/>
            </a:solidFill>
            <a:ln>
              <a:noFill/>
            </a:ln>
            <a:effectLst/>
          </c:spPr>
          <c:cat>
            <c:strRef>
              <c:f>Sheet1!$B$1:$G$1</c:f>
              <c:strCache>
                <c:ptCount val="6"/>
                <c:pt idx="0">
                  <c:v>2016</c:v>
                </c:pt>
                <c:pt idx="1">
                  <c:v>2017</c:v>
                </c:pt>
                <c:pt idx="2">
                  <c:v>2018</c:v>
                </c:pt>
                <c:pt idx="3">
                  <c:v>2019</c:v>
                </c:pt>
                <c:pt idx="4">
                  <c:v>2020</c:v>
                </c:pt>
                <c:pt idx="5">
                  <c:v>2021</c:v>
                </c:pt>
              </c:strCache>
            </c:strRef>
          </c:cat>
          <c:val>
            <c:numRef>
              <c:f>Sheet1!$B$5:$G$5</c:f>
              <c:numCache>
                <c:formatCode>_(* #,##0_);_(* \(#,##0\);_(* "-"??_);_(@_)</c:formatCode>
                <c:ptCount val="6"/>
                <c:pt idx="0">
                  <c:v>57.477735051067981</c:v>
                </c:pt>
                <c:pt idx="1">
                  <c:v>121.927670278504</c:v>
                </c:pt>
                <c:pt idx="2">
                  <c:v>74.183424254955966</c:v>
                </c:pt>
                <c:pt idx="3">
                  <c:v>64.064152799153007</c:v>
                </c:pt>
                <c:pt idx="4">
                  <c:v>41.554988728228992</c:v>
                </c:pt>
                <c:pt idx="5">
                  <c:v>43.252819809644002</c:v>
                </c:pt>
              </c:numCache>
            </c:numRef>
          </c:val>
          <c:extLst>
            <c:ext xmlns:c16="http://schemas.microsoft.com/office/drawing/2014/chart" uri="{C3380CC4-5D6E-409C-BE32-E72D297353CC}">
              <c16:uniqueId val="{00000003-A187-4747-8E02-AB22FCC08561}"/>
            </c:ext>
          </c:extLst>
        </c:ser>
        <c:dLbls>
          <c:showLegendKey val="0"/>
          <c:showVal val="0"/>
          <c:showCatName val="0"/>
          <c:showSerName val="0"/>
          <c:showPercent val="0"/>
          <c:showBubbleSize val="0"/>
        </c:dLbls>
        <c:axId val="1566474719"/>
        <c:axId val="1566473055"/>
      </c:areaChart>
      <c:lineChart>
        <c:grouping val="standard"/>
        <c:varyColors val="0"/>
        <c:ser>
          <c:idx val="4"/>
          <c:order val="4"/>
          <c:tx>
            <c:strRef>
              <c:f>Sheet1!$A$6</c:f>
              <c:strCache>
                <c:ptCount val="1"/>
                <c:pt idx="0">
                  <c:v>Total</c:v>
                </c:pt>
              </c:strCache>
            </c:strRef>
          </c:tx>
          <c:spPr>
            <a:ln w="19050" cap="rnd">
              <a:no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2016</c:v>
                </c:pt>
                <c:pt idx="1">
                  <c:v>2017</c:v>
                </c:pt>
                <c:pt idx="2">
                  <c:v>2018</c:v>
                </c:pt>
                <c:pt idx="3">
                  <c:v>2019</c:v>
                </c:pt>
                <c:pt idx="4">
                  <c:v>2020</c:v>
                </c:pt>
                <c:pt idx="5">
                  <c:v>2021</c:v>
                </c:pt>
              </c:strCache>
            </c:strRef>
          </c:cat>
          <c:val>
            <c:numRef>
              <c:f>Sheet1!$B$6:$G$6</c:f>
              <c:numCache>
                <c:formatCode>_(* #,##0_);_(* \(#,##0\);_(* "-"??_);_(@_)</c:formatCode>
                <c:ptCount val="6"/>
                <c:pt idx="0">
                  <c:v>2923.23787089598</c:v>
                </c:pt>
                <c:pt idx="1">
                  <c:v>2382.8567734079652</c:v>
                </c:pt>
                <c:pt idx="2">
                  <c:v>2390.4540535408591</c:v>
                </c:pt>
                <c:pt idx="3">
                  <c:v>1327.9683385752373</c:v>
                </c:pt>
                <c:pt idx="4">
                  <c:v>1850.9026058815068</c:v>
                </c:pt>
                <c:pt idx="5">
                  <c:v>2463.3549492201896</c:v>
                </c:pt>
              </c:numCache>
            </c:numRef>
          </c:val>
          <c:smooth val="0"/>
          <c:extLst>
            <c:ext xmlns:c16="http://schemas.microsoft.com/office/drawing/2014/chart" uri="{C3380CC4-5D6E-409C-BE32-E72D297353CC}">
              <c16:uniqueId val="{00000004-A187-4747-8E02-AB22FCC08561}"/>
            </c:ext>
          </c:extLst>
        </c:ser>
        <c:dLbls>
          <c:showLegendKey val="0"/>
          <c:showVal val="0"/>
          <c:showCatName val="0"/>
          <c:showSerName val="0"/>
          <c:showPercent val="0"/>
          <c:showBubbleSize val="0"/>
        </c:dLbls>
        <c:marker val="1"/>
        <c:smooth val="0"/>
        <c:axId val="1566474719"/>
        <c:axId val="1566473055"/>
      </c:lineChart>
      <c:catAx>
        <c:axId val="1566474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lumMod val="65000"/>
                    <a:lumOff val="35000"/>
                  </a:schemeClr>
                </a:solidFill>
                <a:latin typeface="+mj-lt"/>
                <a:ea typeface="+mn-ea"/>
                <a:cs typeface="+mn-cs"/>
              </a:defRPr>
            </a:pPr>
            <a:endParaRPr lang="en-US"/>
          </a:p>
        </c:txPr>
        <c:crossAx val="1566473055"/>
        <c:crosses val="autoZero"/>
        <c:auto val="1"/>
        <c:lblAlgn val="ctr"/>
        <c:lblOffset val="100"/>
        <c:noMultiLvlLbl val="0"/>
      </c:catAx>
      <c:valAx>
        <c:axId val="1566473055"/>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6647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800" i="1">
                <a:solidFill>
                  <a:schemeClr val="tx1"/>
                </a:solidFill>
                <a:effectLst/>
                <a:latin typeface="Times New Roman" panose="02020603050405020304" pitchFamily="18" charset="0"/>
                <a:cs typeface="Times New Roman" panose="02020603050405020304" pitchFamily="18" charset="0"/>
              </a:rPr>
              <a:t>Fuente: Trade Data Monitor</a:t>
            </a:r>
          </a:p>
        </c:rich>
      </c:tx>
      <c:layout>
        <c:manualLayout>
          <c:xMode val="edge"/>
          <c:yMode val="edge"/>
          <c:x val="0"/>
          <c:y val="0.8722109533468559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8.0430212193144973E-2"/>
          <c:y val="0.11663286004056796"/>
          <c:w val="0.84304799675775821"/>
          <c:h val="0.58473550973471111"/>
        </c:manualLayout>
      </c:layout>
      <c:areaChart>
        <c:grouping val="stacked"/>
        <c:varyColors val="0"/>
        <c:ser>
          <c:idx val="0"/>
          <c:order val="0"/>
          <c:tx>
            <c:strRef>
              <c:f>Sheet1!$A$2</c:f>
              <c:strCache>
                <c:ptCount val="1"/>
                <c:pt idx="0">
                  <c:v>Granel</c:v>
                </c:pt>
              </c:strCache>
            </c:strRef>
          </c:tx>
          <c:spPr>
            <a:solidFill>
              <a:srgbClr val="2980B9"/>
            </a:solidFill>
            <a:ln w="12700">
              <a:noFill/>
            </a:ln>
            <a:effectLst>
              <a:softEdge rad="0"/>
            </a:effectLst>
          </c:spPr>
          <c:cat>
            <c:strRef>
              <c:f>Sheet1!$B$1:$G$1</c:f>
              <c:strCache>
                <c:ptCount val="6"/>
                <c:pt idx="0">
                  <c:v>2016</c:v>
                </c:pt>
                <c:pt idx="1">
                  <c:v>2017</c:v>
                </c:pt>
                <c:pt idx="2">
                  <c:v>2018</c:v>
                </c:pt>
                <c:pt idx="3">
                  <c:v>2019</c:v>
                </c:pt>
                <c:pt idx="4">
                  <c:v>2020</c:v>
                </c:pt>
                <c:pt idx="5">
                  <c:v>2021</c:v>
                </c:pt>
              </c:strCache>
            </c:strRef>
          </c:cat>
          <c:val>
            <c:numRef>
              <c:f>Sheet1!$B$2:$G$2</c:f>
              <c:numCache>
                <c:formatCode>_(* #,##0.0_);_(* \(#,##0.0\);_(* "-"??_);_(@_)</c:formatCode>
                <c:ptCount val="6"/>
                <c:pt idx="0">
                  <c:v>406.22387400000002</c:v>
                </c:pt>
                <c:pt idx="1">
                  <c:v>238.10341700000001</c:v>
                </c:pt>
                <c:pt idx="2">
                  <c:v>230.949399</c:v>
                </c:pt>
                <c:pt idx="3">
                  <c:v>60.457171000000002</c:v>
                </c:pt>
                <c:pt idx="4">
                  <c:v>214.5</c:v>
                </c:pt>
                <c:pt idx="5">
                  <c:v>315.03223300000002</c:v>
                </c:pt>
              </c:numCache>
            </c:numRef>
          </c:val>
          <c:extLst>
            <c:ext xmlns:c16="http://schemas.microsoft.com/office/drawing/2014/chart" uri="{C3380CC4-5D6E-409C-BE32-E72D297353CC}">
              <c16:uniqueId val="{00000000-88F2-40BE-BDCA-1C1548393386}"/>
            </c:ext>
          </c:extLst>
        </c:ser>
        <c:ser>
          <c:idx val="1"/>
          <c:order val="1"/>
          <c:tx>
            <c:strRef>
              <c:f>Sheet1!$A$3</c:f>
              <c:strCache>
                <c:ptCount val="1"/>
                <c:pt idx="0">
                  <c:v>Intermedios</c:v>
                </c:pt>
              </c:strCache>
            </c:strRef>
          </c:tx>
          <c:spPr>
            <a:solidFill>
              <a:srgbClr val="1BBC9B"/>
            </a:solidFill>
            <a:ln w="12700">
              <a:noFill/>
            </a:ln>
            <a:effectLst/>
          </c:spPr>
          <c:cat>
            <c:strRef>
              <c:f>Sheet1!$B$1:$G$1</c:f>
              <c:strCache>
                <c:ptCount val="6"/>
                <c:pt idx="0">
                  <c:v>2016</c:v>
                </c:pt>
                <c:pt idx="1">
                  <c:v>2017</c:v>
                </c:pt>
                <c:pt idx="2">
                  <c:v>2018</c:v>
                </c:pt>
                <c:pt idx="3">
                  <c:v>2019</c:v>
                </c:pt>
                <c:pt idx="4">
                  <c:v>2020</c:v>
                </c:pt>
                <c:pt idx="5">
                  <c:v>2021</c:v>
                </c:pt>
              </c:strCache>
            </c:strRef>
          </c:cat>
          <c:val>
            <c:numRef>
              <c:f>Sheet1!$B$3:$G$3</c:f>
              <c:numCache>
                <c:formatCode>_(* #,##0.0_);_(* \(#,##0.0\);_(* "-"??_);_(@_)</c:formatCode>
                <c:ptCount val="6"/>
                <c:pt idx="0">
                  <c:v>215.47886299999999</c:v>
                </c:pt>
                <c:pt idx="1">
                  <c:v>147.90878499999999</c:v>
                </c:pt>
                <c:pt idx="2">
                  <c:v>124.316372</c:v>
                </c:pt>
                <c:pt idx="3">
                  <c:v>72.029909000000004</c:v>
                </c:pt>
                <c:pt idx="4">
                  <c:v>157.30000000000001</c:v>
                </c:pt>
                <c:pt idx="5">
                  <c:v>219.637722</c:v>
                </c:pt>
              </c:numCache>
            </c:numRef>
          </c:val>
          <c:extLst>
            <c:ext xmlns:c16="http://schemas.microsoft.com/office/drawing/2014/chart" uri="{C3380CC4-5D6E-409C-BE32-E72D297353CC}">
              <c16:uniqueId val="{00000001-88F2-40BE-BDCA-1C1548393386}"/>
            </c:ext>
          </c:extLst>
        </c:ser>
        <c:ser>
          <c:idx val="2"/>
          <c:order val="2"/>
          <c:tx>
            <c:strRef>
              <c:f>Sheet1!$A$4</c:f>
              <c:strCache>
                <c:ptCount val="1"/>
                <c:pt idx="0">
                  <c:v>Consumo Final</c:v>
                </c:pt>
              </c:strCache>
            </c:strRef>
          </c:tx>
          <c:spPr>
            <a:solidFill>
              <a:srgbClr val="DE4A3B"/>
            </a:solidFill>
            <a:ln w="12700">
              <a:noFill/>
            </a:ln>
            <a:effectLst/>
          </c:spPr>
          <c:cat>
            <c:strRef>
              <c:f>Sheet1!$B$1:$G$1</c:f>
              <c:strCache>
                <c:ptCount val="6"/>
                <c:pt idx="0">
                  <c:v>2016</c:v>
                </c:pt>
                <c:pt idx="1">
                  <c:v>2017</c:v>
                </c:pt>
                <c:pt idx="2">
                  <c:v>2018</c:v>
                </c:pt>
                <c:pt idx="3">
                  <c:v>2019</c:v>
                </c:pt>
                <c:pt idx="4">
                  <c:v>2020</c:v>
                </c:pt>
                <c:pt idx="5">
                  <c:v>2021</c:v>
                </c:pt>
              </c:strCache>
            </c:strRef>
          </c:cat>
          <c:val>
            <c:numRef>
              <c:f>Sheet1!$B$4:$G$4</c:f>
              <c:numCache>
                <c:formatCode>_(* #,##0.0_);_(* \(#,##0.0\);_(* "-"??_);_(@_)</c:formatCode>
                <c:ptCount val="6"/>
                <c:pt idx="0">
                  <c:v>24.055389000000002</c:v>
                </c:pt>
                <c:pt idx="1">
                  <c:v>14.565322</c:v>
                </c:pt>
                <c:pt idx="2">
                  <c:v>18.204284000000001</c:v>
                </c:pt>
                <c:pt idx="3">
                  <c:v>40.974601</c:v>
                </c:pt>
                <c:pt idx="4">
                  <c:v>63.6</c:v>
                </c:pt>
                <c:pt idx="5">
                  <c:v>96.266803999999993</c:v>
                </c:pt>
              </c:numCache>
            </c:numRef>
          </c:val>
          <c:extLst>
            <c:ext xmlns:c16="http://schemas.microsoft.com/office/drawing/2014/chart" uri="{C3380CC4-5D6E-409C-BE32-E72D297353CC}">
              <c16:uniqueId val="{00000002-88F2-40BE-BDCA-1C1548393386}"/>
            </c:ext>
          </c:extLst>
        </c:ser>
        <c:ser>
          <c:idx val="3"/>
          <c:order val="3"/>
          <c:tx>
            <c:strRef>
              <c:f>Sheet1!$A$5</c:f>
              <c:strCache>
                <c:ptCount val="1"/>
                <c:pt idx="0">
                  <c:v>Relacionados</c:v>
                </c:pt>
              </c:strCache>
            </c:strRef>
          </c:tx>
          <c:spPr>
            <a:solidFill>
              <a:srgbClr val="FFCD02"/>
            </a:solidFill>
            <a:ln>
              <a:noFill/>
            </a:ln>
            <a:effectLst/>
          </c:spPr>
          <c:cat>
            <c:strRef>
              <c:f>Sheet1!$B$1:$G$1</c:f>
              <c:strCache>
                <c:ptCount val="6"/>
                <c:pt idx="0">
                  <c:v>2016</c:v>
                </c:pt>
                <c:pt idx="1">
                  <c:v>2017</c:v>
                </c:pt>
                <c:pt idx="2">
                  <c:v>2018</c:v>
                </c:pt>
                <c:pt idx="3">
                  <c:v>2019</c:v>
                </c:pt>
                <c:pt idx="4">
                  <c:v>2020</c:v>
                </c:pt>
                <c:pt idx="5">
                  <c:v>2021</c:v>
                </c:pt>
              </c:strCache>
            </c:strRef>
          </c:cat>
          <c:val>
            <c:numRef>
              <c:f>Sheet1!$B$5:$G$5</c:f>
              <c:numCache>
                <c:formatCode>_(* #,##0.0_);_(* \(#,##0.0\);_(* "-"??_);_(@_)</c:formatCode>
                <c:ptCount val="6"/>
                <c:pt idx="0">
                  <c:v>4.3349390000000003</c:v>
                </c:pt>
                <c:pt idx="1">
                  <c:v>6.1170179999999998</c:v>
                </c:pt>
                <c:pt idx="2">
                  <c:v>3.3841580000000002</c:v>
                </c:pt>
                <c:pt idx="3">
                  <c:v>2.443362</c:v>
                </c:pt>
                <c:pt idx="4">
                  <c:v>2.7</c:v>
                </c:pt>
                <c:pt idx="5">
                  <c:v>3.1978710000000001</c:v>
                </c:pt>
              </c:numCache>
            </c:numRef>
          </c:val>
          <c:extLst>
            <c:ext xmlns:c16="http://schemas.microsoft.com/office/drawing/2014/chart" uri="{C3380CC4-5D6E-409C-BE32-E72D297353CC}">
              <c16:uniqueId val="{00000003-88F2-40BE-BDCA-1C1548393386}"/>
            </c:ext>
          </c:extLst>
        </c:ser>
        <c:dLbls>
          <c:showLegendKey val="0"/>
          <c:showVal val="0"/>
          <c:showCatName val="0"/>
          <c:showSerName val="0"/>
          <c:showPercent val="0"/>
          <c:showBubbleSize val="0"/>
        </c:dLbls>
        <c:axId val="1566474719"/>
        <c:axId val="1566473055"/>
      </c:areaChart>
      <c:lineChart>
        <c:grouping val="standard"/>
        <c:varyColors val="0"/>
        <c:ser>
          <c:idx val="4"/>
          <c:order val="4"/>
          <c:tx>
            <c:strRef>
              <c:f>Sheet1!$A$6</c:f>
              <c:strCache>
                <c:ptCount val="1"/>
                <c:pt idx="0">
                  <c:v>Total</c:v>
                </c:pt>
              </c:strCache>
            </c:strRef>
          </c:tx>
          <c:spPr>
            <a:ln w="19050" cap="rnd">
              <a:no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2016</c:v>
                </c:pt>
                <c:pt idx="1">
                  <c:v>2017</c:v>
                </c:pt>
                <c:pt idx="2">
                  <c:v>2018</c:v>
                </c:pt>
                <c:pt idx="3">
                  <c:v>2019</c:v>
                </c:pt>
                <c:pt idx="4">
                  <c:v>2020</c:v>
                </c:pt>
                <c:pt idx="5">
                  <c:v>2021</c:v>
                </c:pt>
              </c:strCache>
            </c:strRef>
          </c:cat>
          <c:val>
            <c:numRef>
              <c:f>Sheet1!$B$6:$G$6</c:f>
              <c:numCache>
                <c:formatCode>_(* #,##0.0_);_(* \(#,##0.0\);_(* "-"??_);_(@_)</c:formatCode>
                <c:ptCount val="6"/>
                <c:pt idx="0">
                  <c:v>650.09306500000002</c:v>
                </c:pt>
                <c:pt idx="1">
                  <c:v>406.69454200000001</c:v>
                </c:pt>
                <c:pt idx="2">
                  <c:v>376.85421300000002</c:v>
                </c:pt>
                <c:pt idx="3">
                  <c:v>175.90504300000001</c:v>
                </c:pt>
                <c:pt idx="4">
                  <c:v>438</c:v>
                </c:pt>
                <c:pt idx="5">
                  <c:v>634.13463000000002</c:v>
                </c:pt>
              </c:numCache>
            </c:numRef>
          </c:val>
          <c:smooth val="0"/>
          <c:extLst>
            <c:ext xmlns:c16="http://schemas.microsoft.com/office/drawing/2014/chart" uri="{C3380CC4-5D6E-409C-BE32-E72D297353CC}">
              <c16:uniqueId val="{00000004-88F2-40BE-BDCA-1C1548393386}"/>
            </c:ext>
          </c:extLst>
        </c:ser>
        <c:dLbls>
          <c:showLegendKey val="0"/>
          <c:showVal val="0"/>
          <c:showCatName val="0"/>
          <c:showSerName val="0"/>
          <c:showPercent val="0"/>
          <c:showBubbleSize val="0"/>
        </c:dLbls>
        <c:marker val="1"/>
        <c:smooth val="0"/>
        <c:axId val="1566474719"/>
        <c:axId val="1566473055"/>
      </c:lineChart>
      <c:catAx>
        <c:axId val="1566474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66473055"/>
        <c:crosses val="autoZero"/>
        <c:auto val="1"/>
        <c:lblAlgn val="ctr"/>
        <c:lblOffset val="100"/>
        <c:noMultiLvlLbl val="0"/>
      </c:catAx>
      <c:valAx>
        <c:axId val="1566473055"/>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j-lt"/>
                <a:ea typeface="+mn-ea"/>
                <a:cs typeface="+mn-cs"/>
              </a:defRPr>
            </a:pPr>
            <a:endParaRPr lang="en-US"/>
          </a:p>
        </c:txPr>
        <c:crossAx val="1566474719"/>
        <c:crosses val="autoZero"/>
        <c:crossBetween val="between"/>
      </c:valAx>
      <c:spPr>
        <a:noFill/>
        <a:ln>
          <a:noFill/>
        </a:ln>
        <a:effectLst/>
      </c:spPr>
    </c:plotArea>
    <c:legend>
      <c:legendPos val="b"/>
      <c:layout>
        <c:manualLayout>
          <c:xMode val="edge"/>
          <c:yMode val="edge"/>
          <c:x val="0"/>
          <c:y val="0.78572415390266881"/>
          <c:w val="0.9"/>
          <c:h val="7.944889875580968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Perez</dc:creator>
  <cp:keywords/>
  <dc:description/>
  <cp:lastModifiedBy>Mackey, Abigail</cp:lastModifiedBy>
  <cp:revision>2</cp:revision>
  <dcterms:created xsi:type="dcterms:W3CDTF">2022-04-18T15:31:00Z</dcterms:created>
  <dcterms:modified xsi:type="dcterms:W3CDTF">2022-04-18T15:31:00Z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MackeyA@state.gov</vt:lpwstr>
  </property>
  <property fmtid="{D5CDD505-2E9C-101B-9397-08002B2CF9AE}" pid="5" name="MSIP_Label_1665d9ee-429a-4d5f-97cc-cfb56e044a6e_SetDate">
    <vt:lpwstr>2022-04-13T18:38:45.1987967Z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4e1e65cb-30de-4353-80d0-c83f08cb4a54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