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C3D3E" w14:paraId="509B5392" w14:textId="77777777" w:rsidTr="009A6460">
        <w:tc>
          <w:tcPr>
            <w:tcW w:w="9350" w:type="dxa"/>
            <w:gridSpan w:val="2"/>
          </w:tcPr>
          <w:p w14:paraId="01C729CD" w14:textId="73ACAEDC"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COVERED TELECOMMUNICATIONS EQUIPMENT OR SERVICES-</w:t>
            </w:r>
            <w:r w:rsidR="0097627C">
              <w:rPr>
                <w:rFonts w:eastAsia="Times New Roman" w:cstheme="minorHAnsi"/>
                <w:b/>
                <w:bCs/>
                <w:color w:val="000000"/>
                <w:kern w:val="36"/>
                <w:sz w:val="24"/>
                <w:szCs w:val="24"/>
                <w:bdr w:val="none" w:sz="0" w:space="0" w:color="auto" w:frame="1"/>
              </w:rPr>
              <w:t xml:space="preserve"> REPRESENTATION</w:t>
            </w:r>
          </w:p>
        </w:tc>
      </w:tr>
      <w:tr w:rsidR="004C3D3E" w14:paraId="539E17D0" w14:textId="77777777" w:rsidTr="004C3D3E">
        <w:tc>
          <w:tcPr>
            <w:tcW w:w="4675" w:type="dxa"/>
          </w:tcPr>
          <w:p w14:paraId="71E1E76C" w14:textId="3D3B1350"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 Name:</w:t>
            </w:r>
          </w:p>
        </w:tc>
        <w:tc>
          <w:tcPr>
            <w:tcW w:w="4675" w:type="dxa"/>
          </w:tcPr>
          <w:p w14:paraId="027813D9"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3C79B42A" w14:textId="77777777" w:rsidTr="004C3D3E">
        <w:tc>
          <w:tcPr>
            <w:tcW w:w="4675" w:type="dxa"/>
          </w:tcPr>
          <w:p w14:paraId="7304784E" w14:textId="3E67DCD1"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w:t>
            </w:r>
            <w:r w:rsidR="003D72C7">
              <w:rPr>
                <w:rFonts w:eastAsia="Times New Roman" w:cstheme="minorHAnsi"/>
                <w:b/>
                <w:bCs/>
                <w:color w:val="000000"/>
                <w:kern w:val="36"/>
                <w:sz w:val="24"/>
                <w:szCs w:val="24"/>
                <w:bdr w:val="none" w:sz="0" w:space="0" w:color="auto" w:frame="1"/>
              </w:rPr>
              <w:t>’</w:t>
            </w:r>
            <w:r>
              <w:rPr>
                <w:rFonts w:eastAsia="Times New Roman" w:cstheme="minorHAnsi"/>
                <w:b/>
                <w:bCs/>
                <w:color w:val="000000"/>
                <w:kern w:val="36"/>
                <w:sz w:val="24"/>
                <w:szCs w:val="24"/>
                <w:bdr w:val="none" w:sz="0" w:space="0" w:color="auto" w:frame="1"/>
              </w:rPr>
              <w:t>s Authorized Representative:</w:t>
            </w:r>
          </w:p>
        </w:tc>
        <w:tc>
          <w:tcPr>
            <w:tcW w:w="4675" w:type="dxa"/>
          </w:tcPr>
          <w:p w14:paraId="0D882ED7"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6867DCB" w14:textId="77777777" w:rsidTr="004C3D3E">
        <w:tc>
          <w:tcPr>
            <w:tcW w:w="4675" w:type="dxa"/>
          </w:tcPr>
          <w:p w14:paraId="240182BB" w14:textId="2C85A85F"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Signature:</w:t>
            </w:r>
          </w:p>
        </w:tc>
        <w:tc>
          <w:tcPr>
            <w:tcW w:w="4675" w:type="dxa"/>
          </w:tcPr>
          <w:p w14:paraId="690100BF"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8AD98DD" w14:textId="77777777" w:rsidTr="004C3D3E">
        <w:tc>
          <w:tcPr>
            <w:tcW w:w="4675" w:type="dxa"/>
          </w:tcPr>
          <w:p w14:paraId="5180061A" w14:textId="7BBD6982"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Date:</w:t>
            </w:r>
          </w:p>
        </w:tc>
        <w:tc>
          <w:tcPr>
            <w:tcW w:w="4675" w:type="dxa"/>
          </w:tcPr>
          <w:p w14:paraId="3776EEA2"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bl>
    <w:p w14:paraId="15C837F2" w14:textId="77777777" w:rsid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4"/>
          <w:szCs w:val="24"/>
          <w:bdr w:val="none" w:sz="0" w:space="0" w:color="auto" w:frame="1"/>
        </w:rPr>
      </w:pPr>
    </w:p>
    <w:p w14:paraId="121509E6" w14:textId="7B1CAA8F"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52.204-24</w:t>
      </w:r>
      <w:r w:rsidRPr="004C3D3E">
        <w:rPr>
          <w:rFonts w:eastAsia="Times New Roman" w:cstheme="minorHAnsi"/>
          <w:b/>
          <w:bCs/>
          <w:color w:val="000000"/>
          <w:kern w:val="36"/>
          <w:sz w:val="28"/>
          <w:szCs w:val="28"/>
        </w:rPr>
        <w:t> </w:t>
      </w:r>
      <w:r w:rsidRPr="004C3D3E">
        <w:rPr>
          <w:rFonts w:eastAsia="Times New Roman" w:cstheme="minorHAnsi"/>
          <w:b/>
          <w:bCs/>
          <w:color w:val="000000"/>
          <w:kern w:val="36"/>
          <w:sz w:val="28"/>
          <w:szCs w:val="28"/>
          <w:bdr w:val="none" w:sz="0" w:space="0" w:color="auto" w:frame="1"/>
        </w:rPr>
        <w:t>Representation Regarding Certain Telecommunications and Video Surveillance Services or Equipment.</w:t>
      </w:r>
    </w:p>
    <w:p w14:paraId="4C2979C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insert the following provision:</w:t>
      </w:r>
    </w:p>
    <w:p w14:paraId="6E3163C3"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Representation Regarding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77CD30F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FAR_52_204_26" w:history="1">
        <w:r w:rsidRPr="004C3D3E">
          <w:rPr>
            <w:rFonts w:eastAsia="Times New Roman" w:cstheme="minorHAnsi"/>
            <w:color w:val="1062AE"/>
            <w:sz w:val="24"/>
            <w:szCs w:val="24"/>
            <w:u w:val="single"/>
            <w:bdr w:val="none" w:sz="0" w:space="0" w:color="auto" w:frame="1"/>
          </w:rPr>
          <w:t>52.204-26</w:t>
        </w:r>
      </w:hyperlink>
      <w:r w:rsidRPr="004C3D3E">
        <w:rPr>
          <w:rFonts w:eastAsia="Times New Roman" w:cstheme="minorHAnsi"/>
          <w:color w:val="000000"/>
          <w:sz w:val="24"/>
          <w:szCs w:val="24"/>
        </w:rPr>
        <w:t>, Covered Telecommunications Equipment or Services—Representation, or in paragraph (v) of the provision at </w:t>
      </w:r>
      <w:hyperlink r:id="rId11" w:anchor="FAR_52_212_3" w:history="1">
        <w:r w:rsidRPr="004C3D3E">
          <w:rPr>
            <w:rFonts w:eastAsia="Times New Roman" w:cstheme="minorHAnsi"/>
            <w:color w:val="1062AE"/>
            <w:sz w:val="24"/>
            <w:szCs w:val="24"/>
            <w:u w:val="single"/>
            <w:bdr w:val="none" w:sz="0" w:space="0" w:color="auto" w:frame="1"/>
          </w:rPr>
          <w:t>52.212-3</w:t>
        </w:r>
      </w:hyperlink>
      <w:r w:rsidRPr="004C3D3E">
        <w:rPr>
          <w:rFonts w:eastAsia="Times New Roman" w:cstheme="minorHAnsi"/>
          <w:color w:val="000000"/>
          <w:sz w:val="24"/>
          <w:szCs w:val="24"/>
        </w:rPr>
        <w:t>, Offeror Representations and Certifications-Commercial Items.</w:t>
      </w:r>
    </w:p>
    <w:p w14:paraId="15DB663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w:t>
      </w:r>
    </w:p>
    <w:p w14:paraId="1CEC3B2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 covered telecommunications equipment or services, critical technology, interconnection arrangements, reasonable inquiry, roaming, and substantial or essential component</w:t>
      </w:r>
      <w:r w:rsidRPr="004C3D3E">
        <w:rPr>
          <w:rFonts w:eastAsia="Times New Roman" w:cstheme="minorHAnsi"/>
          <w:color w:val="000000"/>
          <w:sz w:val="24"/>
          <w:szCs w:val="24"/>
        </w:rPr>
        <w:t> have the meanings provided in the clause </w:t>
      </w:r>
      <w:hyperlink r:id="rId12"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4D29C733" w14:textId="736D7185"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56CBCDA3"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39CC57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104FA17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59F175F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F487A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3A8F4EB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26CAD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13"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4F4934B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w:t>
      </w:r>
    </w:p>
    <w:p w14:paraId="4678E30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A9FEA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After conducting a reasonable inquiry, for purposes of this representation, the Offeror represents that—</w:t>
      </w:r>
    </w:p>
    <w:p w14:paraId="629BED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FC6306"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Disclosures.</w:t>
      </w:r>
      <w:r w:rsidRPr="004C3D3E">
        <w:rPr>
          <w:rFonts w:eastAsia="Times New Roman" w:cstheme="minorHAnsi"/>
          <w:color w:val="000000"/>
          <w:sz w:val="24"/>
          <w:szCs w:val="24"/>
        </w:rPr>
        <w:t> </w:t>
      </w:r>
    </w:p>
    <w:p w14:paraId="776F9E3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Disclosure for the representation in paragraph (d)(1) of this provision. If the Offeror has responded “will” in the representation in paragraph (d)(1) of this provision, the Offeror shall provide the following information as part of the offer:</w:t>
      </w:r>
    </w:p>
    <w:p w14:paraId="1015974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275A071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original equipment manufacturer (OEM) or a distributor, if known</w:t>
      </w:r>
      <w:proofErr w:type="gramStart"/>
      <w:r w:rsidRPr="004C3D3E">
        <w:rPr>
          <w:rFonts w:eastAsia="Times New Roman" w:cstheme="minorHAnsi"/>
          <w:color w:val="000000"/>
          <w:sz w:val="24"/>
          <w:szCs w:val="24"/>
        </w:rPr>
        <w:t>);</w:t>
      </w:r>
      <w:proofErr w:type="gramEnd"/>
    </w:p>
    <w:p w14:paraId="43CDE37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4C9BAF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(b)(1) of this provision.</w:t>
      </w:r>
    </w:p>
    <w:p w14:paraId="0BA9DEC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0ED55BF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36692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6DB7A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Disclosure for the representation in paragraph (d)(2) of this provision. If the Offeror has responded “does” in the representation in paragraph (d)(2) of this provision, the Offeror shall provide the following information as part of the offer:</w:t>
      </w:r>
    </w:p>
    <w:p w14:paraId="002AF5A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0B1FEBA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OEM or a distributor, if known</w:t>
      </w:r>
      <w:proofErr w:type="gramStart"/>
      <w:r w:rsidRPr="004C3D3E">
        <w:rPr>
          <w:rFonts w:eastAsia="Times New Roman" w:cstheme="minorHAnsi"/>
          <w:color w:val="000000"/>
          <w:sz w:val="24"/>
          <w:szCs w:val="24"/>
        </w:rPr>
        <w:t>);</w:t>
      </w:r>
      <w:proofErr w:type="gramEnd"/>
    </w:p>
    <w:p w14:paraId="62A03E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388BDFF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(b)(2) of this provision.</w:t>
      </w:r>
    </w:p>
    <w:p w14:paraId="691B8E8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6137805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942B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015A06D"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085290C" w14:textId="7F848BB8" w:rsidR="004C3D3E" w:rsidRPr="004C3D3E" w:rsidRDefault="004C3D3E">
      <w:pPr>
        <w:rPr>
          <w:rFonts w:cstheme="minorHAnsi"/>
          <w:sz w:val="24"/>
          <w:szCs w:val="24"/>
        </w:rPr>
      </w:pPr>
    </w:p>
    <w:p w14:paraId="75CA9B41"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52.204-25</w:t>
      </w:r>
      <w:r w:rsidRPr="004C3D3E">
        <w:rPr>
          <w:rFonts w:eastAsia="Times New Roman" w:cstheme="minorHAnsi"/>
          <w:b/>
          <w:bCs/>
          <w:color w:val="000000"/>
          <w:kern w:val="36"/>
          <w:sz w:val="28"/>
          <w:szCs w:val="28"/>
        </w:rPr>
        <w:t> Prohibition on Contracting for Certain Telecommunications and Video Surveillance Services or Equipment.</w:t>
      </w:r>
    </w:p>
    <w:p w14:paraId="78B3000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4"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insert the following clause:</w:t>
      </w:r>
    </w:p>
    <w:p w14:paraId="0613F5B7"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Prohibition on Contracting for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46C62EB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clause—</w:t>
      </w:r>
    </w:p>
    <w:p w14:paraId="3BFC10E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w:t>
      </w:r>
      <w:r w:rsidRPr="004C3D3E">
        <w:rPr>
          <w:rFonts w:eastAsia="Times New Roman" w:cstheme="minorHAnsi"/>
          <w:color w:val="000000"/>
          <w:sz w:val="24"/>
          <w:szCs w:val="24"/>
          <w:bdr w:val="none" w:sz="0" w:space="0" w:color="auto" w:frame="1"/>
        </w:rPr>
        <w:t> means intermediate links between the core network, or backbone network, and the small subnetworks at the edge of the network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connecting cell phones/towers to the core telephone network). Backhaul can be wireless (e.g., microwave) or wired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fiber optic, coaxial cable, Ethernet).</w:t>
      </w:r>
    </w:p>
    <w:p w14:paraId="50206A1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foreign country</w:t>
      </w:r>
      <w:r w:rsidRPr="004C3D3E">
        <w:rPr>
          <w:rFonts w:eastAsia="Times New Roman" w:cstheme="minorHAnsi"/>
          <w:color w:val="000000"/>
          <w:sz w:val="24"/>
          <w:szCs w:val="24"/>
        </w:rPr>
        <w:t> means The People’s Republic of China.</w:t>
      </w:r>
    </w:p>
    <w:p w14:paraId="0693EDB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telecommunications equipment or services</w:t>
      </w:r>
      <w:r w:rsidRPr="004C3D3E">
        <w:rPr>
          <w:rFonts w:eastAsia="Times New Roman" w:cstheme="minorHAnsi"/>
          <w:color w:val="000000"/>
          <w:sz w:val="24"/>
          <w:szCs w:val="24"/>
        </w:rPr>
        <w:t> means–</w:t>
      </w:r>
    </w:p>
    <w:p w14:paraId="741295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Telecommunications equipment produced by Huawei Technologies Company or ZTE Corporation (or any subsidiary or affiliate of such entities</w:t>
      </w:r>
      <w:proofErr w:type="gramStart"/>
      <w:r w:rsidRPr="004C3D3E">
        <w:rPr>
          <w:rFonts w:eastAsia="Times New Roman" w:cstheme="minorHAnsi"/>
          <w:color w:val="000000"/>
          <w:sz w:val="24"/>
          <w:szCs w:val="24"/>
        </w:rPr>
        <w:t>);</w:t>
      </w:r>
      <w:proofErr w:type="gramEnd"/>
    </w:p>
    <w:p w14:paraId="08027A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2266C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Telecommunications or video surveillance services provided by such entities or using such equipment; or</w:t>
      </w:r>
    </w:p>
    <w:p w14:paraId="7726861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BF3351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Critical technology</w:t>
      </w:r>
      <w:r w:rsidRPr="004C3D3E">
        <w:rPr>
          <w:rFonts w:eastAsia="Times New Roman" w:cstheme="minorHAnsi"/>
          <w:color w:val="000000"/>
          <w:sz w:val="24"/>
          <w:szCs w:val="24"/>
        </w:rPr>
        <w:t> means–</w:t>
      </w:r>
    </w:p>
    <w:p w14:paraId="5C487C4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xml:space="preserve"> Defense articles or defense services included on the United States Munitions List set forth in the International Traffic in Arms Regulations under subchapter M of chapter I of title 22, Code of Federal </w:t>
      </w:r>
      <w:proofErr w:type="gramStart"/>
      <w:r w:rsidRPr="004C3D3E">
        <w:rPr>
          <w:rFonts w:eastAsia="Times New Roman" w:cstheme="minorHAnsi"/>
          <w:color w:val="000000"/>
          <w:sz w:val="24"/>
          <w:szCs w:val="24"/>
        </w:rPr>
        <w:t>Regulations;</w:t>
      </w:r>
      <w:proofErr w:type="gramEnd"/>
    </w:p>
    <w:p w14:paraId="63D3E61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Items included on the Commerce Control List set forth in Supplement No. 1 to part 774 of the Export Administration Regulations under subchapter C of chapter VII of title 15, Code of Federal Regulations, and controlled-</w:t>
      </w:r>
    </w:p>
    <w:p w14:paraId="532DD7D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Pursuant to multilateral regimes, including for reasons relating to national security, chemical and biological weapons proliferation, nuclear nonproliferation, or missile technology; or</w:t>
      </w:r>
    </w:p>
    <w:p w14:paraId="20BE3FC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xml:space="preserve"> For reasons relating to regional stability or surreptitious </w:t>
      </w:r>
      <w:proofErr w:type="gramStart"/>
      <w:r w:rsidRPr="004C3D3E">
        <w:rPr>
          <w:rFonts w:eastAsia="Times New Roman" w:cstheme="minorHAnsi"/>
          <w:color w:val="000000"/>
          <w:sz w:val="24"/>
          <w:szCs w:val="24"/>
        </w:rPr>
        <w:t>listening;</w:t>
      </w:r>
      <w:proofErr w:type="gramEnd"/>
    </w:p>
    <w:p w14:paraId="3DA0912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Specially designed and prepared nuclear equipment, parts and components, materials, software, and technology covered by part 810 of title 10, Code of Federal Regulations (relating to assistance to foreign atomic energy activities</w:t>
      </w:r>
      <w:proofErr w:type="gramStart"/>
      <w:r w:rsidRPr="004C3D3E">
        <w:rPr>
          <w:rFonts w:eastAsia="Times New Roman" w:cstheme="minorHAnsi"/>
          <w:color w:val="000000"/>
          <w:sz w:val="24"/>
          <w:szCs w:val="24"/>
        </w:rPr>
        <w:t>);</w:t>
      </w:r>
      <w:proofErr w:type="gramEnd"/>
    </w:p>
    <w:p w14:paraId="53EC537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Nuclear facilities, equipment, and material covered by part 110 of title 10, Code of Federal Regulations (relating to export and import of nuclear equipment and material</w:t>
      </w:r>
      <w:proofErr w:type="gramStart"/>
      <w:r w:rsidRPr="004C3D3E">
        <w:rPr>
          <w:rFonts w:eastAsia="Times New Roman" w:cstheme="minorHAnsi"/>
          <w:color w:val="000000"/>
          <w:sz w:val="24"/>
          <w:szCs w:val="24"/>
        </w:rPr>
        <w:t>);</w:t>
      </w:r>
      <w:proofErr w:type="gramEnd"/>
    </w:p>
    <w:p w14:paraId="2C49CF39"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(5)</w:t>
      </w:r>
      <w:r w:rsidRPr="004C3D3E">
        <w:rPr>
          <w:rFonts w:eastAsia="Times New Roman" w:cstheme="minorHAnsi"/>
          <w:color w:val="000000"/>
          <w:sz w:val="24"/>
          <w:szCs w:val="24"/>
        </w:rPr>
        <w:t> Select agents and toxins covered by part 331 of title 7, Code of Federal Regulations, part 121 of title 9 of such Code, or part 73 of title 42 of such Code; or</w:t>
      </w:r>
    </w:p>
    <w:p w14:paraId="269F87E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(6)</w:t>
      </w:r>
      <w:r w:rsidRPr="004C3D3E">
        <w:rPr>
          <w:rFonts w:eastAsia="Times New Roman" w:cstheme="minorHAnsi"/>
          <w:color w:val="000000"/>
          <w:sz w:val="24"/>
          <w:szCs w:val="24"/>
        </w:rPr>
        <w:t> Emerging and foundational technologies controlled pursuant to section 1758 of the Export Control Reform Act of 2018 (50 U.S.C. 4817).</w:t>
      </w:r>
    </w:p>
    <w:p w14:paraId="512CE28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Interconnection arrangements</w:t>
      </w:r>
      <w:r w:rsidRPr="004C3D3E">
        <w:rPr>
          <w:rFonts w:eastAsia="Times New Roman" w:cstheme="minorHAnsi"/>
          <w:color w:val="000000"/>
          <w:sz w:val="24"/>
          <w:szCs w:val="24"/>
          <w:bdr w:val="none" w:sz="0" w:space="0" w:color="auto" w:frame="1"/>
        </w:rPr>
        <w:t> means arrangements governing the physical connection of two or more networks to allow the use of another's network to hand off traffic where it is ultimately delivered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connection of a customer of telephone provider A to a customer of telephone company B) or sharing data and other information resources.</w:t>
      </w:r>
    </w:p>
    <w:p w14:paraId="41FC72A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Reasonable inquiry</w:t>
      </w:r>
      <w:r w:rsidRPr="004C3D3E">
        <w:rPr>
          <w:rFonts w:eastAsia="Times New Roman" w:cstheme="minorHAnsi"/>
          <w:color w:val="000000"/>
          <w:sz w:val="24"/>
          <w:szCs w:val="24"/>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CC716F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Roaming</w:t>
      </w:r>
      <w:r w:rsidRPr="004C3D3E">
        <w:rPr>
          <w:rFonts w:eastAsia="Times New Roman" w:cstheme="minorHAnsi"/>
          <w:color w:val="000000"/>
          <w:sz w:val="24"/>
          <w:szCs w:val="24"/>
          <w:bdr w:val="none" w:sz="0" w:space="0" w:color="auto" w:frame="1"/>
        </w:rPr>
        <w:t> means cellular communications services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voice, video, data) received from a visited network when unable to connect to the facilities of the home network either because signal coverage is too weak or because traffic is too high.</w:t>
      </w:r>
    </w:p>
    <w:p w14:paraId="4CC887E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Substantial or essential component</w:t>
      </w:r>
      <w:r w:rsidRPr="004C3D3E">
        <w:rPr>
          <w:rFonts w:eastAsia="Times New Roman" w:cstheme="minorHAnsi"/>
          <w:color w:val="000000"/>
          <w:sz w:val="24"/>
          <w:szCs w:val="24"/>
        </w:rPr>
        <w:t> means any component necessary for the proper function or performance of a piece of equipment, system, or service.</w:t>
      </w:r>
    </w:p>
    <w:p w14:paraId="4411722B"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6C55B4A2" w14:textId="77777777" w:rsidR="004C3D3E" w:rsidRPr="004C3D3E" w:rsidRDefault="004C3D3E" w:rsidP="004C3D3E">
      <w:pPr>
        <w:shd w:val="clear" w:color="auto" w:fill="FFFFFF"/>
        <w:spacing w:after="0" w:line="240" w:lineRule="auto"/>
        <w:textAlignment w:val="baseline"/>
        <w:rPr>
          <w:rFonts w:eastAsia="Times New Roman" w:cstheme="minorHAnsi"/>
          <w:color w:val="000000"/>
          <w:sz w:val="24"/>
          <w:szCs w:val="24"/>
        </w:rPr>
      </w:pPr>
      <w:r w:rsidRPr="004C3D3E">
        <w:rPr>
          <w:rFonts w:eastAsia="Times New Roman" w:cstheme="minorHAnsi"/>
          <w:color w:val="000000"/>
          <w:sz w:val="24"/>
          <w:szCs w:val="24"/>
        </w:rPr>
        <w:t> </w:t>
      </w:r>
    </w:p>
    <w:p w14:paraId="2EFFA2F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5"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w:t>
      </w:r>
    </w:p>
    <w:p w14:paraId="201B97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6"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 This prohibition applies to the use of covered telecommunications equipment or services, regardless of whether that use is in performance of work under a Federal contract.</w:t>
      </w:r>
    </w:p>
    <w:p w14:paraId="5D9B648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Exceptions.</w:t>
      </w:r>
      <w:r w:rsidRPr="004C3D3E">
        <w:rPr>
          <w:rFonts w:eastAsia="Times New Roman" w:cstheme="minorHAnsi"/>
          <w:color w:val="000000"/>
          <w:sz w:val="24"/>
          <w:szCs w:val="24"/>
        </w:rPr>
        <w:t> This clause does not prohibit contractors from providing—</w:t>
      </w:r>
    </w:p>
    <w:p w14:paraId="2D6D16D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A service that connects to the facilities of a third-party, such as backhaul, roaming, or interconnection arrangements; or</w:t>
      </w:r>
    </w:p>
    <w:p w14:paraId="4D130B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Telecommunications equipment that cannot route or redirect user data traffic or permit visibility into any user data or packets that such equipment transmits or otherwise handles.</w:t>
      </w:r>
    </w:p>
    <w:p w14:paraId="5FB14ED6" w14:textId="405F361C"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Reporting requirement.</w:t>
      </w:r>
    </w:p>
    <w:p w14:paraId="302A542A"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7"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8"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w:t>
      </w:r>
    </w:p>
    <w:p w14:paraId="62EBA2B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The Contractor shall report the following information pursuant to paragraph (d)(1) of this clause</w:t>
      </w:r>
    </w:p>
    <w:p w14:paraId="04CEA0C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F99D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4276FD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Subcontracts.</w:t>
      </w:r>
      <w:r w:rsidRPr="004C3D3E">
        <w:rPr>
          <w:rFonts w:eastAsia="Times New Roman" w:cstheme="minorHAnsi"/>
          <w:color w:val="000000"/>
          <w:sz w:val="24"/>
          <w:szCs w:val="24"/>
        </w:rPr>
        <w:t> The Contractor shall insert the substance of this clause, including </w:t>
      </w:r>
      <w:r w:rsidRPr="004C3D3E">
        <w:rPr>
          <w:rFonts w:eastAsia="Times New Roman" w:cstheme="minorHAnsi"/>
          <w:color w:val="000000"/>
          <w:sz w:val="24"/>
          <w:szCs w:val="24"/>
          <w:bdr w:val="none" w:sz="0" w:space="0" w:color="auto" w:frame="1"/>
        </w:rPr>
        <w:t>this paragraph (e) and excluding paragraph (b)(2),</w:t>
      </w:r>
      <w:r w:rsidRPr="004C3D3E">
        <w:rPr>
          <w:rFonts w:eastAsia="Times New Roman" w:cstheme="minorHAnsi"/>
          <w:color w:val="000000"/>
          <w:sz w:val="24"/>
          <w:szCs w:val="24"/>
        </w:rPr>
        <w:t> in all subcontracts and other contractual instruments, including subcontracts for the acquisition of commercial items.</w:t>
      </w:r>
    </w:p>
    <w:p w14:paraId="07FAE8BF"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lastRenderedPageBreak/>
        <w:t>(End of clause)</w:t>
      </w:r>
    </w:p>
    <w:p w14:paraId="4F0C6BC4" w14:textId="3FBFA61A" w:rsidR="004C3D3E" w:rsidRPr="004C3D3E" w:rsidRDefault="004C3D3E">
      <w:pPr>
        <w:rPr>
          <w:rFonts w:cstheme="minorHAnsi"/>
          <w:sz w:val="24"/>
          <w:szCs w:val="24"/>
        </w:rPr>
      </w:pPr>
    </w:p>
    <w:p w14:paraId="46776FBC"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52.204-26</w:t>
      </w:r>
      <w:r w:rsidRPr="004C3D3E">
        <w:rPr>
          <w:rFonts w:eastAsia="Times New Roman" w:cstheme="minorHAnsi"/>
          <w:b/>
          <w:bCs/>
          <w:color w:val="000000"/>
          <w:kern w:val="36"/>
          <w:sz w:val="28"/>
          <w:szCs w:val="28"/>
        </w:rPr>
        <w:t> Covered Telecommunications Equipment or Services-Representation.</w:t>
      </w:r>
    </w:p>
    <w:p w14:paraId="6F06659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insert the following provision:</w:t>
      </w:r>
    </w:p>
    <w:p w14:paraId="63738FEB"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Covered Telecommunications Equipment or Services-Representation (Dec 2019)</w:t>
      </w:r>
    </w:p>
    <w:p w14:paraId="63650A3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 “covered telecommunications equipment or services” has the meaning provided in the clause </w:t>
      </w:r>
      <w:hyperlink r:id="rId20"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364552F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21"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1C8BD08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provide covered telecommunications equipment or services as a part of its offered products or services to the Government in the performance of any contract, subcontract, or other contractual instrument.</w:t>
      </w:r>
    </w:p>
    <w:p w14:paraId="3ACB90E0"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6540E8F" w14:textId="77777777" w:rsidR="004C3D3E" w:rsidRPr="004C3D3E" w:rsidRDefault="004C3D3E">
      <w:pPr>
        <w:rPr>
          <w:rFonts w:cstheme="minorHAnsi"/>
          <w:sz w:val="24"/>
          <w:szCs w:val="24"/>
        </w:rPr>
      </w:pPr>
    </w:p>
    <w:sectPr w:rsidR="004C3D3E" w:rsidRPr="004C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397" w14:textId="77777777" w:rsidR="0097627C" w:rsidRDefault="0097627C" w:rsidP="0097627C">
      <w:pPr>
        <w:spacing w:after="0" w:line="240" w:lineRule="auto"/>
      </w:pPr>
      <w:r>
        <w:separator/>
      </w:r>
    </w:p>
  </w:endnote>
  <w:endnote w:type="continuationSeparator" w:id="0">
    <w:p w14:paraId="439C6D75" w14:textId="77777777" w:rsidR="0097627C" w:rsidRDefault="0097627C" w:rsidP="009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075B" w14:textId="77777777" w:rsidR="0097627C" w:rsidRDefault="0097627C" w:rsidP="0097627C">
      <w:pPr>
        <w:spacing w:after="0" w:line="240" w:lineRule="auto"/>
      </w:pPr>
      <w:r>
        <w:separator/>
      </w:r>
    </w:p>
  </w:footnote>
  <w:footnote w:type="continuationSeparator" w:id="0">
    <w:p w14:paraId="2AB9BC36" w14:textId="77777777" w:rsidR="0097627C" w:rsidRDefault="0097627C" w:rsidP="0097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E"/>
    <w:rsid w:val="0014324E"/>
    <w:rsid w:val="0030714E"/>
    <w:rsid w:val="003D72C7"/>
    <w:rsid w:val="00461D52"/>
    <w:rsid w:val="004C3D3E"/>
    <w:rsid w:val="00720DF0"/>
    <w:rsid w:val="0097627C"/>
    <w:rsid w:val="00A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164AC"/>
  <w15:chartTrackingRefBased/>
  <w15:docId w15:val="{6A4E7502-AA6C-4F42-A841-3E07086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7874">
      <w:bodyDiv w:val="1"/>
      <w:marLeft w:val="0"/>
      <w:marRight w:val="0"/>
      <w:marTop w:val="0"/>
      <w:marBottom w:val="0"/>
      <w:divBdr>
        <w:top w:val="none" w:sz="0" w:space="0" w:color="auto"/>
        <w:left w:val="none" w:sz="0" w:space="0" w:color="auto"/>
        <w:bottom w:val="none" w:sz="0" w:space="0" w:color="auto"/>
        <w:right w:val="none" w:sz="0" w:space="0" w:color="auto"/>
      </w:divBdr>
      <w:divsChild>
        <w:div w:id="661545626">
          <w:marLeft w:val="0"/>
          <w:marRight w:val="0"/>
          <w:marTop w:val="0"/>
          <w:marBottom w:val="0"/>
          <w:divBdr>
            <w:top w:val="none" w:sz="0" w:space="0" w:color="auto"/>
            <w:left w:val="none" w:sz="0" w:space="0" w:color="auto"/>
            <w:bottom w:val="none" w:sz="0" w:space="0" w:color="auto"/>
            <w:right w:val="none" w:sz="0" w:space="0" w:color="auto"/>
          </w:divBdr>
        </w:div>
      </w:divsChild>
    </w:div>
    <w:div w:id="1299142002">
      <w:bodyDiv w:val="1"/>
      <w:marLeft w:val="0"/>
      <w:marRight w:val="0"/>
      <w:marTop w:val="0"/>
      <w:marBottom w:val="0"/>
      <w:divBdr>
        <w:top w:val="none" w:sz="0" w:space="0" w:color="auto"/>
        <w:left w:val="none" w:sz="0" w:space="0" w:color="auto"/>
        <w:bottom w:val="none" w:sz="0" w:space="0" w:color="auto"/>
        <w:right w:val="none" w:sz="0" w:space="0" w:color="auto"/>
      </w:divBdr>
      <w:divsChild>
        <w:div w:id="163589529">
          <w:marLeft w:val="0"/>
          <w:marRight w:val="0"/>
          <w:marTop w:val="0"/>
          <w:marBottom w:val="0"/>
          <w:divBdr>
            <w:top w:val="none" w:sz="0" w:space="0" w:color="auto"/>
            <w:left w:val="none" w:sz="0" w:space="0" w:color="auto"/>
            <w:bottom w:val="none" w:sz="0" w:space="0" w:color="auto"/>
            <w:right w:val="none" w:sz="0" w:space="0" w:color="auto"/>
          </w:divBdr>
        </w:div>
      </w:divsChild>
    </w:div>
    <w:div w:id="2036537180">
      <w:bodyDiv w:val="1"/>
      <w:marLeft w:val="0"/>
      <w:marRight w:val="0"/>
      <w:marTop w:val="0"/>
      <w:marBottom w:val="0"/>
      <w:divBdr>
        <w:top w:val="none" w:sz="0" w:space="0" w:color="auto"/>
        <w:left w:val="none" w:sz="0" w:space="0" w:color="auto"/>
        <w:bottom w:val="none" w:sz="0" w:space="0" w:color="auto"/>
        <w:right w:val="none" w:sz="0" w:space="0" w:color="auto"/>
      </w:divBdr>
      <w:divsChild>
        <w:div w:id="10079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hyperlink" Target="https://dibnet.dod.mil/"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https://www.acquisition.gov/far/52.204-25" TargetMode="Externa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acquisition.gov/far/4.2104" TargetMode="External"/><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12-3" TargetMode="External"/><Relationship Id="rId5" Type="http://schemas.openxmlformats.org/officeDocument/2006/relationships/settings" Target="settings.xml"/><Relationship Id="rId15" Type="http://schemas.openxmlformats.org/officeDocument/2006/relationships/hyperlink" Target="https://www.acquisition.gov/far/4.2104" TargetMode="External"/><Relationship Id="rId23" Type="http://schemas.openxmlformats.org/officeDocument/2006/relationships/theme" Target="theme/theme1.xml"/><Relationship Id="rId10" Type="http://schemas.openxmlformats.org/officeDocument/2006/relationships/hyperlink" Target="https://www.acquisition.gov/far/52.204-26" TargetMode="External"/><Relationship Id="rId19" Type="http://schemas.openxmlformats.org/officeDocument/2006/relationships/hyperlink" Target="https://www.acquisition.gov/far/4.2105" TargetMode="External"/><Relationship Id="rId4" Type="http://schemas.openxmlformats.org/officeDocument/2006/relationships/styles" Target="styles.xml"/><Relationship Id="rId9" Type="http://schemas.openxmlformats.org/officeDocument/2006/relationships/hyperlink" Target="https://www.acquisition.gov/far/4.2105" TargetMode="External"/><Relationship Id="rId14" Type="http://schemas.openxmlformats.org/officeDocument/2006/relationships/hyperlink" Target="https://www.acquisition.gov/far/4.2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0" ma:contentTypeDescription="Create a new document." ma:contentTypeScope="" ma:versionID="25e9f1d086a45d833dae47f069224f03">
  <xsd:schema xmlns:xsd="http://www.w3.org/2001/XMLSchema" xmlns:xs="http://www.w3.org/2001/XMLSchema" xmlns:p="http://schemas.microsoft.com/office/2006/metadata/properties" xmlns:ns3="63cd4b08-1e1e-4154-b8f6-beaff3d9baa2" xmlns:ns4="f9ed9578-d32b-44f4-833c-23a98eae8c72" targetNamespace="http://schemas.microsoft.com/office/2006/metadata/properties" ma:root="true" ma:fieldsID="313b23ed37bfcc8c1784ba3e6fc8efb0" ns3:_="" ns4:_="">
    <xsd:import namespace="63cd4b08-1e1e-4154-b8f6-beaff3d9baa2"/>
    <xsd:import namespace="f9ed9578-d32b-44f4-833c-23a98eae8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92A08-C1D7-4070-87EC-84AC5E157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4C28A-B094-474E-A1ED-97268DBA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b08-1e1e-4154-b8f6-beaff3d9baa2"/>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D1F85-D4AA-4BC6-B42F-F1C6EF5D5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 Dan M</dc:creator>
  <cp:keywords/>
  <dc:description/>
  <cp:lastModifiedBy>Kamire, Gaudencia A (Nairobi)</cp:lastModifiedBy>
  <cp:revision>2</cp:revision>
  <dcterms:created xsi:type="dcterms:W3CDTF">2021-08-11T11:07:00Z</dcterms:created>
  <dcterms:modified xsi:type="dcterms:W3CDTF">2021-08-11T11:07:00Z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OkumuDM@state.gov</vt:lpwstr>
  </property>
  <property fmtid="{D5CDD505-2E9C-101B-9397-08002B2CF9AE}" pid="5" name="MSIP_Label_1665d9ee-429a-4d5f-97cc-cfb56e044a6e_SetDate">
    <vt:lpwstr>2020-09-02T07:15:42.2114886Z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326c61ac-2538-4ced-9b4c-d6a5f8437d4d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